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64E" w:rsidRPr="00AB14A2" w:rsidRDefault="00AB14A2" w:rsidP="00FE3B9B">
      <w:pPr>
        <w:spacing w:line="360" w:lineRule="auto"/>
        <w:rPr>
          <w:rFonts w:asciiTheme="majorHAnsi" w:hAnsiTheme="majorHAnsi"/>
          <w:color w:val="FFFFFF" w:themeColor="background1"/>
          <w:sz w:val="92"/>
          <w:szCs w:val="92"/>
          <w:lang w:val="en-GB"/>
        </w:rPr>
      </w:pPr>
      <w:bookmarkStart w:id="0" w:name="_GoBack"/>
      <w:bookmarkEnd w:id="0"/>
      <w:r w:rsidRPr="00AB14A2">
        <w:rPr>
          <w:rFonts w:asciiTheme="majorHAnsi" w:hAnsiTheme="majorHAnsi"/>
          <w:color w:val="FFFFFF" w:themeColor="background1"/>
          <w:sz w:val="92"/>
          <w:szCs w:val="92"/>
          <w:lang w:val="en-GB"/>
        </w:rPr>
        <w:t>Equality and diversity employee profile</w:t>
      </w:r>
    </w:p>
    <w:p w:rsidR="005D464E" w:rsidRPr="00432ACC" w:rsidRDefault="005D464E" w:rsidP="00FE3B9B">
      <w:pPr>
        <w:spacing w:line="360" w:lineRule="auto"/>
        <w:rPr>
          <w:rFonts w:asciiTheme="majorHAnsi" w:hAnsiTheme="majorHAnsi"/>
          <w:color w:val="FFFFFF" w:themeColor="background1"/>
          <w:sz w:val="68"/>
          <w:szCs w:val="68"/>
          <w:lang w:val="en-GB"/>
        </w:rPr>
      </w:pPr>
    </w:p>
    <w:p w:rsidR="005D464E" w:rsidRPr="00AB14A2" w:rsidRDefault="005D464E" w:rsidP="00FE3B9B">
      <w:pPr>
        <w:spacing w:line="360" w:lineRule="auto"/>
        <w:rPr>
          <w:rFonts w:asciiTheme="majorHAnsi" w:hAnsiTheme="majorHAnsi"/>
          <w:color w:val="FFFFFF" w:themeColor="background1"/>
          <w:sz w:val="52"/>
          <w:szCs w:val="52"/>
          <w:lang w:val="en-GB"/>
        </w:rPr>
      </w:pPr>
      <w:r w:rsidRPr="00AB14A2">
        <w:rPr>
          <w:rFonts w:asciiTheme="majorHAnsi" w:hAnsiTheme="majorHAnsi"/>
          <w:color w:val="FFFFFF" w:themeColor="background1"/>
          <w:sz w:val="52"/>
          <w:szCs w:val="52"/>
          <w:lang w:val="en-GB"/>
        </w:rPr>
        <w:t>August 2010 – July 2011</w:t>
      </w:r>
    </w:p>
    <w:p w:rsidR="004D1CB8" w:rsidRPr="00432ACC" w:rsidRDefault="004D1CB8" w:rsidP="00FE3B9B">
      <w:pPr>
        <w:spacing w:line="360" w:lineRule="auto"/>
        <w:rPr>
          <w:rFonts w:ascii="Calibri" w:hAnsi="Calibri" w:cs="Calibri"/>
          <w:sz w:val="22"/>
          <w:szCs w:val="22"/>
          <w:lang w:val="en-GB"/>
        </w:rPr>
      </w:pPr>
    </w:p>
    <w:p w:rsidR="00967C36" w:rsidRPr="00432ACC" w:rsidRDefault="00967C36" w:rsidP="00FE3B9B">
      <w:pPr>
        <w:spacing w:line="360" w:lineRule="auto"/>
        <w:rPr>
          <w:rFonts w:ascii="Calibri" w:hAnsi="Calibri" w:cs="Calibri"/>
          <w:sz w:val="22"/>
          <w:szCs w:val="22"/>
          <w:lang w:val="en-GB"/>
        </w:rPr>
      </w:pPr>
    </w:p>
    <w:p w:rsidR="00967C36" w:rsidRPr="00432ACC" w:rsidRDefault="00967C36" w:rsidP="00FE3B9B">
      <w:pPr>
        <w:spacing w:line="360" w:lineRule="auto"/>
        <w:rPr>
          <w:rFonts w:ascii="Calibri" w:hAnsi="Calibri" w:cs="Calibri"/>
          <w:sz w:val="22"/>
          <w:szCs w:val="22"/>
          <w:lang w:val="en-GB"/>
        </w:rPr>
      </w:pPr>
    </w:p>
    <w:p w:rsidR="00967C36" w:rsidRPr="00432ACC" w:rsidRDefault="00967C36" w:rsidP="00FE3B9B">
      <w:pPr>
        <w:spacing w:line="360" w:lineRule="auto"/>
        <w:rPr>
          <w:rFonts w:ascii="Calibri" w:hAnsi="Calibri" w:cs="Calibri"/>
          <w:sz w:val="22"/>
          <w:szCs w:val="22"/>
          <w:lang w:val="en-GB"/>
        </w:rPr>
      </w:pPr>
    </w:p>
    <w:p w:rsidR="00436078" w:rsidRPr="00432ACC" w:rsidRDefault="00436078" w:rsidP="00FE3B9B">
      <w:pPr>
        <w:spacing w:line="360" w:lineRule="auto"/>
        <w:rPr>
          <w:rFonts w:ascii="Calibri" w:hAnsi="Calibri" w:cs="Calibri"/>
          <w:sz w:val="22"/>
          <w:szCs w:val="22"/>
          <w:lang w:val="en-GB"/>
        </w:rPr>
      </w:pPr>
      <w:r w:rsidRPr="00432ACC">
        <w:rPr>
          <w:rFonts w:ascii="Calibri" w:hAnsi="Calibri" w:cs="Calibri"/>
          <w:sz w:val="22"/>
          <w:szCs w:val="22"/>
          <w:lang w:val="en-GB"/>
        </w:rPr>
        <w:br w:type="page"/>
      </w:r>
    </w:p>
    <w:p w:rsidR="00436078" w:rsidRPr="00432ACC" w:rsidRDefault="00436078" w:rsidP="00FE3B9B">
      <w:pPr>
        <w:spacing w:line="360" w:lineRule="auto"/>
        <w:rPr>
          <w:rFonts w:ascii="Calibri" w:hAnsi="Calibri" w:cs="Calibri"/>
          <w:color w:val="A52432"/>
          <w:sz w:val="30"/>
          <w:szCs w:val="30"/>
          <w:lang w:val="en-GB"/>
        </w:rPr>
      </w:pPr>
      <w:r w:rsidRPr="00432ACC">
        <w:rPr>
          <w:rFonts w:ascii="Calibri" w:hAnsi="Calibri" w:cs="Calibri"/>
          <w:b/>
          <w:color w:val="A52432"/>
          <w:sz w:val="30"/>
          <w:szCs w:val="30"/>
          <w:lang w:val="en-GB"/>
        </w:rPr>
        <w:lastRenderedPageBreak/>
        <w:t>Introd</w:t>
      </w:r>
      <w:r w:rsidRPr="00E277A8">
        <w:rPr>
          <w:rFonts w:ascii="Calibri" w:hAnsi="Calibri" w:cs="Calibri"/>
          <w:b/>
          <w:color w:val="A52432"/>
          <w:sz w:val="30"/>
          <w:szCs w:val="30"/>
          <w:lang w:val="en-GB"/>
        </w:rPr>
        <w:t>uctio</w:t>
      </w:r>
      <w:r w:rsidRPr="00432ACC">
        <w:rPr>
          <w:rFonts w:ascii="Calibri" w:hAnsi="Calibri" w:cs="Calibri"/>
          <w:b/>
          <w:color w:val="A52432"/>
          <w:sz w:val="30"/>
          <w:szCs w:val="30"/>
          <w:lang w:val="en-GB"/>
        </w:rPr>
        <w:t>n</w:t>
      </w:r>
    </w:p>
    <w:p w:rsidR="00344459" w:rsidRPr="00432ACC" w:rsidRDefault="00344459" w:rsidP="00FE3B9B">
      <w:pPr>
        <w:spacing w:line="360" w:lineRule="auto"/>
        <w:rPr>
          <w:rFonts w:ascii="Calibri" w:hAnsi="Calibri" w:cs="Calibri"/>
          <w:sz w:val="22"/>
          <w:szCs w:val="22"/>
          <w:lang w:val="en-GB"/>
        </w:rPr>
      </w:pPr>
    </w:p>
    <w:p w:rsidR="00A46C39" w:rsidRDefault="00AB14A2" w:rsidP="00FE3B9B">
      <w:pPr>
        <w:spacing w:line="360" w:lineRule="auto"/>
        <w:rPr>
          <w:rFonts w:ascii="Calibri" w:hAnsi="Calibri" w:cs="Calibri"/>
          <w:sz w:val="22"/>
          <w:szCs w:val="22"/>
          <w:lang w:val="en-GB"/>
        </w:rPr>
      </w:pPr>
      <w:r>
        <w:rPr>
          <w:rFonts w:ascii="Calibri" w:hAnsi="Calibri" w:cs="Calibri"/>
          <w:sz w:val="22"/>
          <w:szCs w:val="22"/>
          <w:lang w:val="en-GB"/>
        </w:rPr>
        <w:t xml:space="preserve">This report analyses the Colleges workforce </w:t>
      </w:r>
      <w:r w:rsidR="00E277A8">
        <w:rPr>
          <w:rFonts w:ascii="Calibri" w:hAnsi="Calibri" w:cs="Calibri"/>
          <w:sz w:val="22"/>
          <w:szCs w:val="22"/>
          <w:lang w:val="en-GB"/>
        </w:rPr>
        <w:t xml:space="preserve">and potential workforce and their </w:t>
      </w:r>
      <w:r>
        <w:rPr>
          <w:rFonts w:ascii="Calibri" w:hAnsi="Calibri" w:cs="Calibri"/>
          <w:sz w:val="22"/>
          <w:szCs w:val="22"/>
          <w:lang w:val="en-GB"/>
        </w:rPr>
        <w:t xml:space="preserve">protected characteristics </w:t>
      </w:r>
      <w:r w:rsidR="00E277A8">
        <w:rPr>
          <w:rFonts w:ascii="Calibri" w:hAnsi="Calibri" w:cs="Calibri"/>
          <w:sz w:val="22"/>
          <w:szCs w:val="22"/>
          <w:lang w:val="en-GB"/>
        </w:rPr>
        <w:t xml:space="preserve">against a number of human resource processes and procedures </w:t>
      </w:r>
      <w:r>
        <w:rPr>
          <w:rFonts w:ascii="Calibri" w:hAnsi="Calibri" w:cs="Calibri"/>
          <w:sz w:val="22"/>
          <w:szCs w:val="22"/>
          <w:lang w:val="en-GB"/>
        </w:rPr>
        <w:t xml:space="preserve">in an attempt to identify any issues which may exist. </w:t>
      </w:r>
    </w:p>
    <w:p w:rsidR="00AB14A2" w:rsidRDefault="00AB14A2" w:rsidP="00FE3B9B">
      <w:pPr>
        <w:spacing w:line="360" w:lineRule="auto"/>
        <w:rPr>
          <w:rFonts w:ascii="Calibri" w:hAnsi="Calibri" w:cs="Calibri"/>
          <w:sz w:val="22"/>
          <w:szCs w:val="22"/>
          <w:lang w:val="en-GB"/>
        </w:rPr>
      </w:pPr>
    </w:p>
    <w:p w:rsidR="00AB14A2" w:rsidRDefault="00AB14A2" w:rsidP="00FE3B9B">
      <w:pPr>
        <w:spacing w:line="360" w:lineRule="auto"/>
        <w:rPr>
          <w:rFonts w:ascii="Calibri" w:hAnsi="Calibri" w:cs="Calibri"/>
          <w:sz w:val="22"/>
          <w:szCs w:val="22"/>
          <w:lang w:val="en-GB"/>
        </w:rPr>
      </w:pPr>
      <w:r>
        <w:rPr>
          <w:rFonts w:ascii="Calibri" w:hAnsi="Calibri" w:cs="Calibri"/>
          <w:sz w:val="22"/>
          <w:szCs w:val="22"/>
          <w:lang w:val="en-GB"/>
        </w:rPr>
        <w:t>For the most part the figures displayed in the report refer to a month by month or average therefore for the period 1</w:t>
      </w:r>
      <w:r w:rsidRPr="00AB14A2">
        <w:rPr>
          <w:rFonts w:ascii="Calibri" w:hAnsi="Calibri" w:cs="Calibri"/>
          <w:sz w:val="22"/>
          <w:szCs w:val="22"/>
          <w:vertAlign w:val="superscript"/>
          <w:lang w:val="en-GB"/>
        </w:rPr>
        <w:t>st</w:t>
      </w:r>
      <w:r>
        <w:rPr>
          <w:rFonts w:ascii="Calibri" w:hAnsi="Calibri" w:cs="Calibri"/>
          <w:sz w:val="22"/>
          <w:szCs w:val="22"/>
          <w:lang w:val="en-GB"/>
        </w:rPr>
        <w:t xml:space="preserve"> August 2010 to 31</w:t>
      </w:r>
      <w:r w:rsidRPr="00AB14A2">
        <w:rPr>
          <w:rFonts w:ascii="Calibri" w:hAnsi="Calibri" w:cs="Calibri"/>
          <w:sz w:val="22"/>
          <w:szCs w:val="22"/>
          <w:vertAlign w:val="superscript"/>
          <w:lang w:val="en-GB"/>
        </w:rPr>
        <w:t>st</w:t>
      </w:r>
      <w:r>
        <w:rPr>
          <w:rFonts w:ascii="Calibri" w:hAnsi="Calibri" w:cs="Calibri"/>
          <w:sz w:val="22"/>
          <w:szCs w:val="22"/>
          <w:lang w:val="en-GB"/>
        </w:rPr>
        <w:t xml:space="preserve"> July 2011. </w:t>
      </w:r>
      <w:r w:rsidR="00E277A8">
        <w:rPr>
          <w:rFonts w:ascii="Calibri" w:hAnsi="Calibri" w:cs="Calibri"/>
          <w:sz w:val="22"/>
          <w:szCs w:val="22"/>
          <w:lang w:val="en-GB"/>
        </w:rPr>
        <w:t xml:space="preserve">If any other figures have been used this will be clearly stated within the relevant section. </w:t>
      </w:r>
    </w:p>
    <w:p w:rsidR="00E277A8" w:rsidRDefault="00E277A8" w:rsidP="00FE3B9B">
      <w:pPr>
        <w:spacing w:line="360" w:lineRule="auto"/>
        <w:rPr>
          <w:rFonts w:ascii="Calibri" w:hAnsi="Calibri" w:cs="Calibri"/>
          <w:sz w:val="22"/>
          <w:szCs w:val="22"/>
          <w:lang w:val="en-GB"/>
        </w:rPr>
      </w:pPr>
    </w:p>
    <w:p w:rsidR="00D272CE" w:rsidRDefault="00D272CE" w:rsidP="00FE3B9B">
      <w:pPr>
        <w:spacing w:line="360" w:lineRule="auto"/>
        <w:rPr>
          <w:rFonts w:ascii="Calibri" w:hAnsi="Calibri" w:cs="Calibri"/>
          <w:b/>
          <w:color w:val="A52432"/>
          <w:sz w:val="30"/>
          <w:szCs w:val="30"/>
          <w:lang w:val="en-GB"/>
        </w:rPr>
      </w:pPr>
      <w:r>
        <w:rPr>
          <w:rFonts w:ascii="Calibri" w:hAnsi="Calibri" w:cs="Calibri"/>
          <w:b/>
          <w:color w:val="A52432"/>
          <w:sz w:val="30"/>
          <w:szCs w:val="30"/>
          <w:lang w:val="en-GB"/>
        </w:rPr>
        <w:br w:type="page"/>
      </w:r>
    </w:p>
    <w:p w:rsidR="006C2B3C" w:rsidRDefault="006C2B3C" w:rsidP="00FE3B9B">
      <w:pPr>
        <w:spacing w:line="360" w:lineRule="auto"/>
        <w:rPr>
          <w:rFonts w:ascii="Calibri" w:hAnsi="Calibri" w:cs="Calibri"/>
          <w:b/>
          <w:color w:val="A52432"/>
          <w:sz w:val="30"/>
          <w:szCs w:val="30"/>
          <w:lang w:val="en-GB"/>
        </w:rPr>
      </w:pPr>
      <w:r>
        <w:rPr>
          <w:rFonts w:ascii="Calibri" w:hAnsi="Calibri" w:cs="Calibri"/>
          <w:b/>
          <w:color w:val="A52432"/>
          <w:sz w:val="30"/>
          <w:szCs w:val="30"/>
          <w:lang w:val="en-GB"/>
        </w:rPr>
        <w:lastRenderedPageBreak/>
        <w:t>Workforce summary</w:t>
      </w:r>
    </w:p>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As at 31</w:t>
      </w:r>
      <w:r w:rsidRPr="006C2B3C">
        <w:rPr>
          <w:rFonts w:ascii="Calibri" w:hAnsi="Calibri" w:cs="Calibri"/>
          <w:sz w:val="22"/>
          <w:szCs w:val="22"/>
          <w:vertAlign w:val="superscript"/>
          <w:lang w:val="en-GB"/>
        </w:rPr>
        <w:t>st</w:t>
      </w:r>
      <w:r w:rsidRPr="006C2B3C">
        <w:rPr>
          <w:rFonts w:ascii="Calibri" w:hAnsi="Calibri" w:cs="Calibri"/>
          <w:sz w:val="22"/>
          <w:szCs w:val="22"/>
          <w:lang w:val="en-GB"/>
        </w:rPr>
        <w:t xml:space="preserve"> July 2011 the college employed</w:t>
      </w:r>
      <w:r w:rsidRPr="006C2B3C">
        <w:rPr>
          <w:rFonts w:ascii="Arial" w:hAnsi="Arial" w:cs="Arial"/>
          <w:sz w:val="20"/>
          <w:szCs w:val="20"/>
        </w:rPr>
        <w:t xml:space="preserve"> 1067 </w:t>
      </w:r>
      <w:r>
        <w:rPr>
          <w:rFonts w:ascii="Arial" w:hAnsi="Arial" w:cs="Arial"/>
          <w:sz w:val="20"/>
          <w:szCs w:val="20"/>
        </w:rPr>
        <w:t xml:space="preserve">people </w:t>
      </w:r>
      <w:r w:rsidRPr="006C2B3C">
        <w:rPr>
          <w:rFonts w:ascii="Arial" w:hAnsi="Arial" w:cs="Arial"/>
          <w:sz w:val="20"/>
          <w:szCs w:val="20"/>
        </w:rPr>
        <w:t xml:space="preserve"> with an FTE </w:t>
      </w:r>
      <w:r w:rsidRPr="006C2B3C">
        <w:rPr>
          <w:rFonts w:ascii="Arial" w:hAnsi="Arial" w:cs="Arial"/>
          <w:color w:val="000000" w:themeColor="text1"/>
          <w:sz w:val="20"/>
          <w:szCs w:val="20"/>
        </w:rPr>
        <w:t>of 787</w:t>
      </w:r>
      <w:r>
        <w:rPr>
          <w:rFonts w:ascii="Arial" w:hAnsi="Arial" w:cs="Arial"/>
          <w:color w:val="000000" w:themeColor="text1"/>
          <w:sz w:val="20"/>
          <w:szCs w:val="20"/>
        </w:rPr>
        <w:t>.</w:t>
      </w:r>
    </w:p>
    <w:tbl>
      <w:tblPr>
        <w:tblStyle w:val="TableGrid"/>
        <w:tblW w:w="8897" w:type="dxa"/>
        <w:tblLook w:val="04A0" w:firstRow="1" w:lastRow="0" w:firstColumn="1" w:lastColumn="0" w:noHBand="0" w:noVBand="1"/>
      </w:tblPr>
      <w:tblGrid>
        <w:gridCol w:w="4361"/>
        <w:gridCol w:w="4536"/>
      </w:tblGrid>
      <w:tr w:rsidR="006C2B3C" w:rsidTr="006C2B3C">
        <w:tc>
          <w:tcPr>
            <w:tcW w:w="4361" w:type="dxa"/>
          </w:tcPr>
          <w:p w:rsidR="006C2B3C" w:rsidRPr="006C2B3C" w:rsidRDefault="006C2B3C" w:rsidP="00FE3B9B">
            <w:pPr>
              <w:spacing w:line="360" w:lineRule="auto"/>
              <w:rPr>
                <w:rFonts w:ascii="Calibri" w:hAnsi="Calibri" w:cs="Calibri"/>
                <w:sz w:val="30"/>
                <w:szCs w:val="30"/>
                <w:lang w:val="en-GB"/>
              </w:rPr>
            </w:pPr>
          </w:p>
        </w:tc>
        <w:tc>
          <w:tcPr>
            <w:tcW w:w="4536" w:type="dxa"/>
          </w:tcPr>
          <w:p w:rsidR="006C2B3C" w:rsidRPr="006C2B3C" w:rsidRDefault="006C2B3C" w:rsidP="00FE3B9B">
            <w:pPr>
              <w:spacing w:line="360" w:lineRule="auto"/>
              <w:rPr>
                <w:rFonts w:ascii="Calibri" w:hAnsi="Calibri" w:cs="Calibri"/>
                <w:sz w:val="30"/>
                <w:szCs w:val="30"/>
                <w:lang w:val="en-GB"/>
              </w:rPr>
            </w:pPr>
            <w:r w:rsidRPr="006C2B3C">
              <w:rPr>
                <w:rFonts w:ascii="Calibri" w:hAnsi="Calibri" w:cs="Calibri"/>
                <w:sz w:val="30"/>
                <w:szCs w:val="30"/>
                <w:lang w:val="en-GB"/>
              </w:rPr>
              <w:t>July 2011</w:t>
            </w:r>
          </w:p>
        </w:tc>
      </w:tr>
      <w:tr w:rsidR="006C2B3C" w:rsidTr="006C2B3C">
        <w:tc>
          <w:tcPr>
            <w:tcW w:w="4361"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BME</w:t>
            </w:r>
          </w:p>
        </w:tc>
        <w:tc>
          <w:tcPr>
            <w:tcW w:w="4536"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5.4%</w:t>
            </w:r>
          </w:p>
        </w:tc>
      </w:tr>
      <w:tr w:rsidR="006C2B3C" w:rsidTr="006C2B3C">
        <w:tc>
          <w:tcPr>
            <w:tcW w:w="4361"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 xml:space="preserve">Disability </w:t>
            </w:r>
          </w:p>
        </w:tc>
        <w:tc>
          <w:tcPr>
            <w:tcW w:w="4536"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3.9%</w:t>
            </w:r>
          </w:p>
        </w:tc>
      </w:tr>
      <w:tr w:rsidR="006C2B3C" w:rsidTr="006C2B3C">
        <w:tc>
          <w:tcPr>
            <w:tcW w:w="4361"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Gender split</w:t>
            </w:r>
          </w:p>
        </w:tc>
        <w:tc>
          <w:tcPr>
            <w:tcW w:w="4536" w:type="dxa"/>
          </w:tcPr>
          <w:p w:rsidR="006C2B3C" w:rsidRPr="006C2B3C" w:rsidRDefault="006C2B3C" w:rsidP="00FE3B9B">
            <w:pPr>
              <w:spacing w:line="360" w:lineRule="auto"/>
              <w:rPr>
                <w:rFonts w:ascii="Calibri" w:hAnsi="Calibri" w:cs="Calibri"/>
                <w:sz w:val="22"/>
                <w:szCs w:val="22"/>
                <w:lang w:val="en-GB"/>
              </w:rPr>
            </w:pPr>
            <w:r w:rsidRPr="006C2B3C">
              <w:rPr>
                <w:rFonts w:ascii="Calibri" w:hAnsi="Calibri" w:cs="Calibri"/>
                <w:sz w:val="22"/>
                <w:szCs w:val="22"/>
                <w:lang w:val="en-GB"/>
              </w:rPr>
              <w:t>67:33</w:t>
            </w:r>
          </w:p>
        </w:tc>
      </w:tr>
    </w:tbl>
    <w:p w:rsidR="006C2B3C" w:rsidRDefault="006C2B3C" w:rsidP="00FE3B9B">
      <w:pPr>
        <w:spacing w:line="360" w:lineRule="auto"/>
        <w:rPr>
          <w:rFonts w:ascii="Calibri" w:hAnsi="Calibri" w:cs="Calibri"/>
          <w:b/>
          <w:color w:val="A52432"/>
          <w:sz w:val="30"/>
          <w:szCs w:val="30"/>
          <w:lang w:val="en-GB"/>
        </w:rPr>
      </w:pPr>
    </w:p>
    <w:p w:rsidR="00E277A8" w:rsidRPr="00D272CE" w:rsidRDefault="00E277A8" w:rsidP="00FE3B9B">
      <w:pPr>
        <w:spacing w:line="360" w:lineRule="auto"/>
        <w:rPr>
          <w:rFonts w:ascii="Calibri" w:hAnsi="Calibri" w:cs="Calibri"/>
          <w:b/>
          <w:color w:val="A52432"/>
          <w:sz w:val="30"/>
          <w:szCs w:val="30"/>
          <w:lang w:val="en-GB"/>
        </w:rPr>
      </w:pPr>
      <w:r w:rsidRPr="00D272CE">
        <w:rPr>
          <w:rFonts w:ascii="Calibri" w:hAnsi="Calibri" w:cs="Calibri"/>
          <w:b/>
          <w:color w:val="A52432"/>
          <w:sz w:val="30"/>
          <w:szCs w:val="30"/>
          <w:lang w:val="en-GB"/>
        </w:rPr>
        <w:t>Recr</w:t>
      </w:r>
      <w:r w:rsidRPr="00180AED">
        <w:rPr>
          <w:rFonts w:ascii="Calibri" w:hAnsi="Calibri" w:cs="Calibri"/>
          <w:b/>
          <w:color w:val="A52432"/>
          <w:sz w:val="30"/>
          <w:szCs w:val="30"/>
          <w:lang w:val="en-GB"/>
        </w:rPr>
        <w:t>ui</w:t>
      </w:r>
      <w:r w:rsidRPr="00D272CE">
        <w:rPr>
          <w:rFonts w:ascii="Calibri" w:hAnsi="Calibri" w:cs="Calibri"/>
          <w:b/>
          <w:color w:val="A52432"/>
          <w:sz w:val="30"/>
          <w:szCs w:val="30"/>
          <w:lang w:val="en-GB"/>
        </w:rPr>
        <w:t>tment</w:t>
      </w:r>
    </w:p>
    <w:p w:rsidR="00AC0987" w:rsidRDefault="00AC0987" w:rsidP="00FE3B9B">
      <w:pPr>
        <w:spacing w:line="360" w:lineRule="auto"/>
        <w:rPr>
          <w:rFonts w:asciiTheme="majorHAnsi" w:hAnsiTheme="majorHAnsi" w:cstheme="majorHAnsi"/>
          <w:sz w:val="22"/>
          <w:szCs w:val="22"/>
        </w:rPr>
      </w:pPr>
      <w:r>
        <w:rPr>
          <w:rFonts w:asciiTheme="majorHAnsi" w:hAnsiTheme="majorHAnsi" w:cstheme="majorHAnsi"/>
          <w:sz w:val="22"/>
          <w:szCs w:val="22"/>
        </w:rPr>
        <w:t xml:space="preserve">The </w:t>
      </w:r>
      <w:r w:rsidR="00180AED">
        <w:rPr>
          <w:rFonts w:asciiTheme="majorHAnsi" w:hAnsiTheme="majorHAnsi" w:cstheme="majorHAnsi"/>
          <w:sz w:val="22"/>
          <w:szCs w:val="22"/>
        </w:rPr>
        <w:t xml:space="preserve">following section looks at the </w:t>
      </w:r>
      <w:r>
        <w:rPr>
          <w:rFonts w:asciiTheme="majorHAnsi" w:hAnsiTheme="majorHAnsi" w:cstheme="majorHAnsi"/>
          <w:sz w:val="22"/>
          <w:szCs w:val="22"/>
        </w:rPr>
        <w:t>breakdown of applicant data for 2010/11 compared to that of new starters for the same period.</w:t>
      </w:r>
    </w:p>
    <w:p w:rsidR="006C2B3C" w:rsidRDefault="006C2B3C" w:rsidP="00FE3B9B">
      <w:pPr>
        <w:spacing w:line="360" w:lineRule="auto"/>
        <w:rPr>
          <w:rFonts w:asciiTheme="majorHAnsi" w:hAnsiTheme="majorHAnsi" w:cstheme="majorHAnsi"/>
          <w:b/>
          <w:color w:val="A52432"/>
          <w:sz w:val="22"/>
          <w:szCs w:val="22"/>
        </w:rPr>
      </w:pPr>
    </w:p>
    <w:p w:rsidR="00AC0987" w:rsidRDefault="00AC0987" w:rsidP="00FE3B9B">
      <w:pPr>
        <w:spacing w:line="360" w:lineRule="auto"/>
        <w:rPr>
          <w:rFonts w:asciiTheme="majorHAnsi" w:hAnsiTheme="majorHAnsi" w:cstheme="majorHAnsi"/>
          <w:b/>
          <w:sz w:val="22"/>
          <w:szCs w:val="22"/>
        </w:rPr>
      </w:pPr>
      <w:r w:rsidRPr="00AC0987">
        <w:rPr>
          <w:rFonts w:asciiTheme="majorHAnsi" w:hAnsiTheme="majorHAnsi" w:cstheme="majorHAnsi"/>
          <w:b/>
          <w:color w:val="A52432"/>
          <w:sz w:val="22"/>
          <w:szCs w:val="22"/>
        </w:rPr>
        <w:t>Disability</w:t>
      </w:r>
    </w:p>
    <w:p w:rsidR="00FE3B9B" w:rsidRDefault="00FE3B9B" w:rsidP="00FE3B9B">
      <w:pPr>
        <w:spacing w:line="360" w:lineRule="auto"/>
        <w:jc w:val="both"/>
        <w:rPr>
          <w:rFonts w:asciiTheme="majorHAnsi" w:hAnsiTheme="majorHAnsi" w:cstheme="majorHAnsi"/>
          <w:sz w:val="22"/>
          <w:szCs w:val="22"/>
        </w:rPr>
      </w:pPr>
      <w:r w:rsidRPr="00156ABC">
        <w:rPr>
          <w:rFonts w:asciiTheme="majorHAnsi" w:hAnsiTheme="majorHAnsi" w:cstheme="majorHAnsi"/>
          <w:sz w:val="22"/>
          <w:szCs w:val="22"/>
        </w:rPr>
        <w:t xml:space="preserve">The percentage of successful candidates declaring a disability has increased since the last report </w:t>
      </w:r>
      <w:r>
        <w:rPr>
          <w:rFonts w:asciiTheme="majorHAnsi" w:hAnsiTheme="majorHAnsi" w:cstheme="majorHAnsi"/>
          <w:sz w:val="22"/>
          <w:szCs w:val="22"/>
        </w:rPr>
        <w:t xml:space="preserve">from 3.2% to 4.4% </w:t>
      </w:r>
      <w:r w:rsidRPr="00156ABC">
        <w:rPr>
          <w:rFonts w:asciiTheme="majorHAnsi" w:hAnsiTheme="majorHAnsi" w:cstheme="majorHAnsi"/>
          <w:sz w:val="22"/>
          <w:szCs w:val="22"/>
        </w:rPr>
        <w:t xml:space="preserve">and is now above the percentage of disabled applicants. The number of candidates declaring a disability who have been shortlisted however is </w:t>
      </w:r>
      <w:r>
        <w:rPr>
          <w:rFonts w:asciiTheme="majorHAnsi" w:hAnsiTheme="majorHAnsi" w:cstheme="majorHAnsi"/>
          <w:sz w:val="22"/>
          <w:szCs w:val="22"/>
        </w:rPr>
        <w:t>3.3</w:t>
      </w:r>
      <w:r w:rsidRPr="00156ABC">
        <w:rPr>
          <w:rFonts w:asciiTheme="majorHAnsi" w:hAnsiTheme="majorHAnsi" w:cstheme="majorHAnsi"/>
          <w:sz w:val="22"/>
          <w:szCs w:val="22"/>
        </w:rPr>
        <w:t>%.</w:t>
      </w:r>
      <w:r>
        <w:rPr>
          <w:rFonts w:asciiTheme="majorHAnsi" w:hAnsiTheme="majorHAnsi" w:cstheme="majorHAnsi"/>
          <w:sz w:val="22"/>
          <w:szCs w:val="22"/>
        </w:rPr>
        <w:t xml:space="preserve"> This is the first time we have this data and we will be able to monitor it from now on.</w:t>
      </w:r>
    </w:p>
    <w:p w:rsidR="00036B2E" w:rsidRDefault="00036B2E" w:rsidP="00FE3B9B">
      <w:pPr>
        <w:spacing w:line="360" w:lineRule="auto"/>
        <w:jc w:val="both"/>
        <w:rPr>
          <w:rFonts w:asciiTheme="majorHAnsi" w:hAnsiTheme="majorHAnsi" w:cstheme="majorHAnsi"/>
          <w:sz w:val="22"/>
          <w:szCs w:val="22"/>
        </w:rPr>
      </w:pPr>
    </w:p>
    <w:p w:rsidR="00435D13" w:rsidRDefault="00FE3B9B" w:rsidP="00FE3B9B">
      <w:pPr>
        <w:spacing w:line="360" w:lineRule="auto"/>
        <w:jc w:val="center"/>
        <w:rPr>
          <w:rFonts w:asciiTheme="majorHAnsi" w:hAnsiTheme="majorHAnsi" w:cstheme="majorHAnsi"/>
          <w:sz w:val="22"/>
          <w:szCs w:val="22"/>
        </w:rPr>
      </w:pPr>
      <w:r>
        <w:rPr>
          <w:noProof/>
          <w:lang w:val="en-GB" w:eastAsia="en-GB"/>
        </w:rPr>
        <w:drawing>
          <wp:inline distT="0" distB="0" distL="0" distR="0" wp14:anchorId="1B7C405B" wp14:editId="08BDA646">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E3B9B" w:rsidRDefault="00FE3B9B" w:rsidP="00FE3B9B">
      <w:pPr>
        <w:spacing w:line="360" w:lineRule="auto"/>
        <w:jc w:val="both"/>
        <w:rPr>
          <w:rFonts w:asciiTheme="majorHAnsi" w:hAnsiTheme="majorHAnsi" w:cstheme="majorHAnsi"/>
          <w:sz w:val="22"/>
          <w:szCs w:val="22"/>
        </w:rPr>
      </w:pPr>
    </w:p>
    <w:p w:rsidR="00FE3B9B" w:rsidRDefault="00FE3B9B" w:rsidP="00FE3B9B">
      <w:pPr>
        <w:spacing w:line="360" w:lineRule="auto"/>
        <w:jc w:val="both"/>
        <w:rPr>
          <w:rFonts w:asciiTheme="majorHAnsi" w:hAnsiTheme="majorHAnsi" w:cstheme="majorHAnsi"/>
          <w:sz w:val="22"/>
          <w:szCs w:val="22"/>
        </w:rPr>
      </w:pPr>
      <w:r w:rsidRPr="00156ABC">
        <w:rPr>
          <w:rFonts w:asciiTheme="majorHAnsi" w:hAnsiTheme="majorHAnsi" w:cstheme="majorHAnsi"/>
          <w:sz w:val="22"/>
          <w:szCs w:val="22"/>
        </w:rPr>
        <w:t xml:space="preserve">As part of the positive about disability commitment that </w:t>
      </w:r>
      <w:r w:rsidR="006C2B3C">
        <w:rPr>
          <w:rFonts w:asciiTheme="majorHAnsi" w:hAnsiTheme="majorHAnsi" w:cstheme="majorHAnsi"/>
          <w:sz w:val="22"/>
          <w:szCs w:val="22"/>
        </w:rPr>
        <w:t xml:space="preserve">Vision </w:t>
      </w:r>
      <w:r w:rsidRPr="00156ABC">
        <w:rPr>
          <w:rFonts w:asciiTheme="majorHAnsi" w:hAnsiTheme="majorHAnsi" w:cstheme="majorHAnsi"/>
          <w:sz w:val="22"/>
          <w:szCs w:val="22"/>
        </w:rPr>
        <w:t xml:space="preserve">West Notts have made, all candidates who declare a disability and meet the shortlisting criteria are guaranteed an interview. This would therefore indicate a higher percentage of applicants declaring a disability are applying for posts which they are not qualified for and this is adversely affecting the figures. </w:t>
      </w:r>
    </w:p>
    <w:p w:rsidR="00FE3B9B" w:rsidRDefault="00FE3B9B" w:rsidP="00FE3B9B">
      <w:pPr>
        <w:spacing w:line="360" w:lineRule="auto"/>
        <w:jc w:val="both"/>
        <w:rPr>
          <w:rFonts w:asciiTheme="majorHAnsi" w:hAnsiTheme="majorHAnsi" w:cstheme="majorHAnsi"/>
          <w:sz w:val="22"/>
          <w:szCs w:val="22"/>
        </w:rPr>
      </w:pPr>
    </w:p>
    <w:p w:rsidR="00FE3B9B" w:rsidRDefault="00FE3B9B" w:rsidP="00FE3B9B">
      <w:pPr>
        <w:spacing w:line="360" w:lineRule="auto"/>
        <w:rPr>
          <w:rFonts w:asciiTheme="majorHAnsi" w:hAnsiTheme="majorHAnsi" w:cstheme="majorHAnsi"/>
          <w:sz w:val="22"/>
          <w:szCs w:val="22"/>
        </w:rPr>
      </w:pPr>
      <w:r>
        <w:rPr>
          <w:rFonts w:asciiTheme="majorHAnsi" w:hAnsiTheme="majorHAnsi" w:cstheme="majorHAnsi"/>
          <w:sz w:val="22"/>
          <w:szCs w:val="22"/>
        </w:rPr>
        <w:t>LLUK reported the percentage of college employees with a disability to be 3.7% in 2009/10. The 4.4% of applicants who have reported a disability is a positive indication of our recruitment advertising and it is even more positive that this converts into 6.6% of successful candidates.</w:t>
      </w:r>
    </w:p>
    <w:p w:rsidR="00FE3B9B" w:rsidRDefault="00FE3B9B" w:rsidP="00FE3B9B">
      <w:pPr>
        <w:spacing w:line="360" w:lineRule="auto"/>
        <w:rPr>
          <w:rFonts w:asciiTheme="majorHAnsi" w:hAnsiTheme="majorHAnsi" w:cstheme="majorHAnsi"/>
          <w:sz w:val="22"/>
          <w:szCs w:val="22"/>
        </w:rPr>
      </w:pPr>
    </w:p>
    <w:p w:rsidR="00180AED" w:rsidRDefault="00180AED" w:rsidP="00FE3B9B">
      <w:pPr>
        <w:spacing w:line="360" w:lineRule="auto"/>
        <w:rPr>
          <w:rFonts w:asciiTheme="majorHAnsi" w:hAnsiTheme="majorHAnsi" w:cstheme="majorHAnsi"/>
          <w:b/>
          <w:color w:val="A52432"/>
          <w:sz w:val="22"/>
          <w:szCs w:val="22"/>
        </w:rPr>
      </w:pPr>
      <w:r w:rsidRPr="00180AED">
        <w:rPr>
          <w:rFonts w:asciiTheme="majorHAnsi" w:hAnsiTheme="majorHAnsi" w:cstheme="majorHAnsi"/>
          <w:b/>
          <w:color w:val="A52432"/>
          <w:sz w:val="22"/>
          <w:szCs w:val="22"/>
        </w:rPr>
        <w:t>Ethnicity</w:t>
      </w:r>
    </w:p>
    <w:p w:rsidR="00180AED" w:rsidRDefault="00180AED" w:rsidP="00FE3B9B">
      <w:pPr>
        <w:spacing w:line="360" w:lineRule="auto"/>
        <w:rPr>
          <w:rFonts w:asciiTheme="majorHAnsi" w:hAnsiTheme="majorHAnsi" w:cstheme="majorHAnsi"/>
          <w:sz w:val="22"/>
          <w:szCs w:val="22"/>
        </w:rPr>
      </w:pPr>
      <w:r>
        <w:rPr>
          <w:rFonts w:asciiTheme="majorHAnsi" w:hAnsiTheme="majorHAnsi" w:cstheme="majorHAnsi"/>
          <w:sz w:val="22"/>
          <w:szCs w:val="22"/>
        </w:rPr>
        <w:t>LLUK reported the percentage of college employees from BME groups to be 11.0% in 2009/10. The 14.9% of applicants from BME backgrounds is a positive indication of our recruitment advertising and it is even more positive that this converts into 11.5% of successful candidates for the same period.</w:t>
      </w:r>
    </w:p>
    <w:p w:rsidR="00FE3B9B" w:rsidRDefault="00FE3B9B" w:rsidP="00FE3B9B">
      <w:pPr>
        <w:spacing w:line="360" w:lineRule="auto"/>
        <w:rPr>
          <w:rFonts w:asciiTheme="majorHAnsi" w:hAnsiTheme="majorHAnsi" w:cstheme="majorHAnsi"/>
          <w:sz w:val="22"/>
          <w:szCs w:val="22"/>
        </w:rPr>
      </w:pPr>
    </w:p>
    <w:p w:rsidR="00B80367" w:rsidRDefault="00FE3B9B" w:rsidP="00FE3B9B">
      <w:pPr>
        <w:spacing w:line="360" w:lineRule="auto"/>
        <w:jc w:val="center"/>
        <w:rPr>
          <w:rFonts w:asciiTheme="majorHAnsi" w:hAnsiTheme="majorHAnsi" w:cstheme="majorHAnsi"/>
          <w:sz w:val="22"/>
          <w:szCs w:val="22"/>
        </w:rPr>
      </w:pPr>
      <w:r>
        <w:rPr>
          <w:noProof/>
          <w:lang w:val="en-GB" w:eastAsia="en-GB"/>
        </w:rPr>
        <w:drawing>
          <wp:inline distT="0" distB="0" distL="0" distR="0" wp14:anchorId="6EA07C48" wp14:editId="1DCCC07B">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3B9B" w:rsidRDefault="00FE3B9B" w:rsidP="00FE3B9B">
      <w:pPr>
        <w:spacing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The percentage of prospective candidates from ethnic backgrounds who apply for vacancies is 14.9% compared to 9.5% of applicants last academic year</w:t>
      </w:r>
      <w:r w:rsidR="008C5606">
        <w:rPr>
          <w:rFonts w:asciiTheme="majorHAnsi" w:hAnsiTheme="majorHAnsi" w:cstheme="majorHAnsi"/>
          <w:sz w:val="22"/>
          <w:szCs w:val="22"/>
        </w:rPr>
        <w:t xml:space="preserve"> and th</w:t>
      </w:r>
      <w:r>
        <w:rPr>
          <w:rFonts w:asciiTheme="majorHAnsi" w:hAnsiTheme="majorHAnsi" w:cstheme="majorHAnsi"/>
          <w:sz w:val="22"/>
          <w:szCs w:val="22"/>
        </w:rPr>
        <w:t xml:space="preserve">e percentage </w:t>
      </w:r>
      <w:r w:rsidR="008C5606">
        <w:rPr>
          <w:rFonts w:asciiTheme="majorHAnsi" w:hAnsiTheme="majorHAnsi" w:cstheme="majorHAnsi"/>
          <w:sz w:val="22"/>
          <w:szCs w:val="22"/>
        </w:rPr>
        <w:t>that</w:t>
      </w:r>
      <w:r>
        <w:rPr>
          <w:rFonts w:asciiTheme="majorHAnsi" w:hAnsiTheme="majorHAnsi" w:cstheme="majorHAnsi"/>
          <w:sz w:val="22"/>
          <w:szCs w:val="22"/>
        </w:rPr>
        <w:t xml:space="preserve"> are shortlisted</w:t>
      </w:r>
      <w:r w:rsidR="008C5606">
        <w:rPr>
          <w:rFonts w:asciiTheme="majorHAnsi" w:hAnsiTheme="majorHAnsi" w:cstheme="majorHAnsi"/>
          <w:sz w:val="22"/>
          <w:szCs w:val="22"/>
        </w:rPr>
        <w:t xml:space="preserve"> is even higher at 15.7%</w:t>
      </w:r>
      <w:r>
        <w:rPr>
          <w:rFonts w:asciiTheme="majorHAnsi" w:hAnsiTheme="majorHAnsi" w:cstheme="majorHAnsi"/>
          <w:sz w:val="22"/>
          <w:szCs w:val="22"/>
        </w:rPr>
        <w:t>. The percentage of successful candidates from ethnic backgrounds</w:t>
      </w:r>
      <w:r w:rsidR="00754AEB">
        <w:rPr>
          <w:rFonts w:asciiTheme="majorHAnsi" w:hAnsiTheme="majorHAnsi" w:cstheme="majorHAnsi"/>
          <w:sz w:val="22"/>
          <w:szCs w:val="22"/>
        </w:rPr>
        <w:t xml:space="preserve"> is</w:t>
      </w:r>
      <w:r w:rsidR="008C5606">
        <w:rPr>
          <w:rFonts w:asciiTheme="majorHAnsi" w:hAnsiTheme="majorHAnsi" w:cstheme="majorHAnsi"/>
          <w:sz w:val="22"/>
          <w:szCs w:val="22"/>
        </w:rPr>
        <w:t xml:space="preserve"> 11.5%</w:t>
      </w:r>
      <w:r>
        <w:rPr>
          <w:rFonts w:asciiTheme="majorHAnsi" w:hAnsiTheme="majorHAnsi" w:cstheme="majorHAnsi"/>
          <w:sz w:val="22"/>
          <w:szCs w:val="22"/>
        </w:rPr>
        <w:t>.</w:t>
      </w:r>
      <w:r w:rsidR="008C5606">
        <w:rPr>
          <w:rFonts w:asciiTheme="majorHAnsi" w:hAnsiTheme="majorHAnsi" w:cstheme="majorHAnsi"/>
          <w:sz w:val="22"/>
          <w:szCs w:val="22"/>
        </w:rPr>
        <w:t xml:space="preserve"> This figure remains above that of the Colleges workforce which was 5.4% in 2010/11</w:t>
      </w:r>
      <w:r w:rsidR="00754AEB">
        <w:rPr>
          <w:rFonts w:asciiTheme="majorHAnsi" w:hAnsiTheme="majorHAnsi" w:cstheme="majorHAnsi"/>
          <w:sz w:val="22"/>
          <w:szCs w:val="22"/>
        </w:rPr>
        <w:t xml:space="preserve"> and is 5.5% higher than 2009/10</w:t>
      </w:r>
      <w:r w:rsidR="008C5606">
        <w:rPr>
          <w:rFonts w:asciiTheme="majorHAnsi" w:hAnsiTheme="majorHAnsi" w:cstheme="majorHAnsi"/>
          <w:sz w:val="22"/>
          <w:szCs w:val="22"/>
        </w:rPr>
        <w:t>.</w:t>
      </w:r>
    </w:p>
    <w:p w:rsidR="00FE3B9B" w:rsidRDefault="00FE3B9B" w:rsidP="00FE3B9B">
      <w:pPr>
        <w:spacing w:line="360" w:lineRule="auto"/>
        <w:jc w:val="both"/>
        <w:rPr>
          <w:rFonts w:asciiTheme="majorHAnsi" w:hAnsiTheme="majorHAnsi" w:cstheme="majorHAnsi"/>
          <w:sz w:val="22"/>
          <w:szCs w:val="22"/>
        </w:rPr>
      </w:pPr>
    </w:p>
    <w:p w:rsidR="00FE3B9B" w:rsidRDefault="00FE3B9B" w:rsidP="00FE3B9B">
      <w:pPr>
        <w:spacing w:line="360" w:lineRule="auto"/>
        <w:rPr>
          <w:rFonts w:asciiTheme="majorHAnsi" w:hAnsiTheme="majorHAnsi" w:cstheme="majorHAnsi"/>
          <w:sz w:val="22"/>
          <w:szCs w:val="22"/>
        </w:rPr>
      </w:pPr>
      <w:r>
        <w:rPr>
          <w:rFonts w:asciiTheme="majorHAnsi" w:hAnsiTheme="majorHAnsi" w:cstheme="majorHAnsi"/>
          <w:sz w:val="22"/>
          <w:szCs w:val="22"/>
        </w:rPr>
        <w:t xml:space="preserve">Human Resources are involved in the recruitment process for all vacancies and ensure that a fair a consistent scoring method is applied to all interviews and assessment centers. </w:t>
      </w:r>
    </w:p>
    <w:p w:rsidR="00FE3B9B" w:rsidRDefault="00FE3B9B" w:rsidP="00FE3B9B">
      <w:pPr>
        <w:spacing w:line="360" w:lineRule="auto"/>
        <w:rPr>
          <w:rFonts w:asciiTheme="majorHAnsi" w:hAnsiTheme="majorHAnsi" w:cstheme="majorHAnsi"/>
          <w:sz w:val="22"/>
          <w:szCs w:val="22"/>
        </w:rPr>
      </w:pPr>
    </w:p>
    <w:p w:rsidR="00FE3B9B" w:rsidRDefault="00FE3B9B" w:rsidP="00FE3B9B">
      <w:pPr>
        <w:spacing w:line="360" w:lineRule="auto"/>
        <w:rPr>
          <w:rFonts w:asciiTheme="majorHAnsi" w:hAnsiTheme="majorHAnsi" w:cstheme="majorHAnsi"/>
          <w:sz w:val="22"/>
          <w:szCs w:val="22"/>
        </w:rPr>
      </w:pPr>
      <w:r>
        <w:rPr>
          <w:rFonts w:asciiTheme="majorHAnsi" w:hAnsiTheme="majorHAnsi" w:cstheme="majorHAnsi"/>
          <w:sz w:val="22"/>
          <w:szCs w:val="22"/>
        </w:rPr>
        <w:t>This rate of recruitment from ethnic minorities is above the College</w:t>
      </w:r>
      <w:r w:rsidR="00015EB9">
        <w:rPr>
          <w:rFonts w:asciiTheme="majorHAnsi" w:hAnsiTheme="majorHAnsi" w:cstheme="majorHAnsi"/>
          <w:sz w:val="22"/>
          <w:szCs w:val="22"/>
        </w:rPr>
        <w:t>’</w:t>
      </w:r>
      <w:r>
        <w:rPr>
          <w:rFonts w:asciiTheme="majorHAnsi" w:hAnsiTheme="majorHAnsi" w:cstheme="majorHAnsi"/>
          <w:sz w:val="22"/>
          <w:szCs w:val="22"/>
        </w:rPr>
        <w:t xml:space="preserve">s targets for its staffing profile of 7.6% and is a positive step towards us reaching this figure. </w:t>
      </w:r>
    </w:p>
    <w:p w:rsidR="00FE3B9B" w:rsidRDefault="00FE3B9B" w:rsidP="00FE3B9B">
      <w:pPr>
        <w:spacing w:line="360" w:lineRule="auto"/>
        <w:rPr>
          <w:rFonts w:asciiTheme="majorHAnsi" w:hAnsiTheme="majorHAnsi" w:cstheme="majorHAnsi"/>
          <w:b/>
          <w:color w:val="A52432"/>
          <w:sz w:val="22"/>
          <w:szCs w:val="22"/>
        </w:rPr>
      </w:pPr>
    </w:p>
    <w:p w:rsidR="00180AED" w:rsidRDefault="00180AED" w:rsidP="00FE3B9B">
      <w:pPr>
        <w:spacing w:line="360" w:lineRule="auto"/>
        <w:rPr>
          <w:rFonts w:asciiTheme="majorHAnsi" w:hAnsiTheme="majorHAnsi" w:cstheme="majorHAnsi"/>
          <w:b/>
          <w:color w:val="A52432"/>
          <w:sz w:val="22"/>
          <w:szCs w:val="22"/>
        </w:rPr>
      </w:pPr>
      <w:r>
        <w:rPr>
          <w:rFonts w:asciiTheme="majorHAnsi" w:hAnsiTheme="majorHAnsi" w:cstheme="majorHAnsi"/>
          <w:b/>
          <w:color w:val="A52432"/>
          <w:sz w:val="22"/>
          <w:szCs w:val="22"/>
        </w:rPr>
        <w:t>Age</w:t>
      </w:r>
    </w:p>
    <w:p w:rsidR="00180AED" w:rsidRDefault="008C5606" w:rsidP="00FE3B9B">
      <w:pPr>
        <w:spacing w:line="360" w:lineRule="auto"/>
        <w:rPr>
          <w:rFonts w:asciiTheme="majorHAnsi" w:hAnsiTheme="majorHAnsi" w:cstheme="majorHAnsi"/>
          <w:sz w:val="22"/>
          <w:szCs w:val="22"/>
        </w:rPr>
      </w:pPr>
      <w:r>
        <w:rPr>
          <w:rFonts w:asciiTheme="majorHAnsi" w:hAnsiTheme="majorHAnsi" w:cstheme="majorHAnsi"/>
          <w:sz w:val="22"/>
          <w:szCs w:val="22"/>
        </w:rPr>
        <w:t>Applicants aged 21-35 have a reduced percentage of successful candidates when compared to the number who are shortlisted. This is in direct contrast with those aged 36-45. The previous academic years’ figures show almost 7% more applicants within the 21-35 age group were successful compared those who applied which illustrates a shift in this trend.</w:t>
      </w:r>
    </w:p>
    <w:p w:rsidR="00B80367" w:rsidRDefault="00B80367" w:rsidP="00FE3B9B">
      <w:pPr>
        <w:spacing w:line="360" w:lineRule="auto"/>
        <w:rPr>
          <w:rFonts w:asciiTheme="majorHAnsi" w:hAnsiTheme="majorHAnsi" w:cstheme="majorHAnsi"/>
          <w:sz w:val="22"/>
          <w:szCs w:val="22"/>
        </w:rPr>
      </w:pPr>
    </w:p>
    <w:p w:rsidR="00FE3B9B" w:rsidRDefault="00FE3B9B" w:rsidP="00FE3B9B">
      <w:pPr>
        <w:spacing w:line="360" w:lineRule="auto"/>
        <w:rPr>
          <w:rFonts w:asciiTheme="majorHAnsi" w:hAnsiTheme="majorHAnsi" w:cstheme="majorHAnsi"/>
          <w:sz w:val="22"/>
          <w:szCs w:val="22"/>
        </w:rPr>
      </w:pPr>
      <w:r>
        <w:rPr>
          <w:noProof/>
          <w:lang w:val="en-GB" w:eastAsia="en-GB"/>
        </w:rPr>
        <w:drawing>
          <wp:inline distT="0" distB="0" distL="0" distR="0" wp14:anchorId="5300FEEE" wp14:editId="6840DEE7">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3B9B" w:rsidRDefault="00FE3B9B" w:rsidP="00FE3B9B">
      <w:pPr>
        <w:spacing w:line="360" w:lineRule="auto"/>
        <w:rPr>
          <w:rFonts w:asciiTheme="majorHAnsi" w:hAnsiTheme="majorHAnsi" w:cstheme="majorHAnsi"/>
          <w:sz w:val="22"/>
          <w:szCs w:val="22"/>
        </w:rPr>
      </w:pPr>
    </w:p>
    <w:p w:rsidR="00015EB9" w:rsidRDefault="00015EB9" w:rsidP="00FE3B9B">
      <w:pPr>
        <w:spacing w:line="360" w:lineRule="auto"/>
        <w:rPr>
          <w:rFonts w:asciiTheme="majorHAnsi" w:hAnsiTheme="majorHAnsi" w:cstheme="majorHAnsi"/>
          <w:sz w:val="22"/>
          <w:szCs w:val="22"/>
        </w:rPr>
      </w:pPr>
    </w:p>
    <w:p w:rsidR="00015EB9" w:rsidRDefault="00015EB9" w:rsidP="00FE3B9B">
      <w:pPr>
        <w:spacing w:line="360" w:lineRule="auto"/>
        <w:rPr>
          <w:rFonts w:asciiTheme="majorHAnsi" w:hAnsiTheme="majorHAnsi" w:cstheme="majorHAnsi"/>
          <w:sz w:val="22"/>
          <w:szCs w:val="22"/>
        </w:rPr>
      </w:pPr>
    </w:p>
    <w:p w:rsidR="00FE3B9B" w:rsidRDefault="008C5606" w:rsidP="00FE3B9B">
      <w:pPr>
        <w:spacing w:line="360" w:lineRule="auto"/>
        <w:rPr>
          <w:rFonts w:asciiTheme="majorHAnsi" w:hAnsiTheme="majorHAnsi" w:cstheme="majorHAnsi"/>
          <w:b/>
          <w:color w:val="A52432"/>
          <w:sz w:val="22"/>
          <w:szCs w:val="22"/>
        </w:rPr>
      </w:pPr>
      <w:r w:rsidRPr="008C5606">
        <w:rPr>
          <w:rFonts w:asciiTheme="majorHAnsi" w:hAnsiTheme="majorHAnsi" w:cstheme="majorHAnsi"/>
          <w:b/>
          <w:color w:val="A52432"/>
          <w:sz w:val="22"/>
          <w:szCs w:val="22"/>
        </w:rPr>
        <w:t>Gender</w:t>
      </w:r>
    </w:p>
    <w:p w:rsidR="008C5606" w:rsidRDefault="00E73FC3" w:rsidP="00FE3B9B">
      <w:pPr>
        <w:spacing w:line="360" w:lineRule="auto"/>
        <w:rPr>
          <w:rFonts w:asciiTheme="majorHAnsi" w:hAnsiTheme="majorHAnsi" w:cstheme="majorHAnsi"/>
          <w:sz w:val="22"/>
          <w:szCs w:val="22"/>
        </w:rPr>
      </w:pPr>
      <w:r>
        <w:rPr>
          <w:rFonts w:asciiTheme="majorHAnsi" w:hAnsiTheme="majorHAnsi" w:cstheme="majorHAnsi"/>
          <w:sz w:val="22"/>
          <w:szCs w:val="22"/>
        </w:rPr>
        <w:t>The table below indicates an</w:t>
      </w:r>
      <w:r w:rsidR="008C5606">
        <w:rPr>
          <w:rFonts w:asciiTheme="majorHAnsi" w:hAnsiTheme="majorHAnsi" w:cstheme="majorHAnsi"/>
          <w:sz w:val="22"/>
          <w:szCs w:val="22"/>
        </w:rPr>
        <w:t xml:space="preserve"> increase in the number of female applicants who are shortlisted and successful compared to male applicants for the same period. </w:t>
      </w:r>
      <w:r>
        <w:rPr>
          <w:rFonts w:asciiTheme="majorHAnsi" w:hAnsiTheme="majorHAnsi" w:cstheme="majorHAnsi"/>
          <w:sz w:val="22"/>
          <w:szCs w:val="22"/>
        </w:rPr>
        <w:t>2009/10 also showed a similar trend with 9.3% more females being successful compared to the number who applied and just 0.3% more males being successful than applied.</w:t>
      </w:r>
    </w:p>
    <w:p w:rsidR="00036B2E" w:rsidRPr="008C5606" w:rsidRDefault="00036B2E" w:rsidP="00FE3B9B">
      <w:pPr>
        <w:spacing w:line="360" w:lineRule="auto"/>
        <w:rPr>
          <w:rFonts w:asciiTheme="majorHAnsi" w:hAnsiTheme="majorHAnsi" w:cstheme="majorHAnsi"/>
          <w:sz w:val="22"/>
          <w:szCs w:val="22"/>
        </w:rPr>
      </w:pPr>
    </w:p>
    <w:p w:rsidR="00FE3B9B" w:rsidRDefault="00FE3B9B" w:rsidP="00FE3B9B">
      <w:pPr>
        <w:spacing w:line="360" w:lineRule="auto"/>
        <w:rPr>
          <w:rFonts w:asciiTheme="majorHAnsi" w:hAnsiTheme="majorHAnsi" w:cstheme="majorHAnsi"/>
          <w:sz w:val="22"/>
          <w:szCs w:val="22"/>
        </w:rPr>
      </w:pPr>
      <w:r>
        <w:rPr>
          <w:noProof/>
          <w:lang w:val="en-GB" w:eastAsia="en-GB"/>
        </w:rPr>
        <w:drawing>
          <wp:inline distT="0" distB="0" distL="0" distR="0" wp14:anchorId="1BB43A15" wp14:editId="6C24FC43">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5D10" w:rsidRDefault="00DB5D10" w:rsidP="00FE3B9B">
      <w:pPr>
        <w:spacing w:line="360" w:lineRule="auto"/>
        <w:jc w:val="both"/>
        <w:rPr>
          <w:rFonts w:asciiTheme="majorHAnsi" w:hAnsiTheme="majorHAnsi" w:cstheme="majorHAnsi"/>
          <w:sz w:val="22"/>
          <w:szCs w:val="22"/>
        </w:rPr>
      </w:pPr>
    </w:p>
    <w:p w:rsidR="00DB5D10" w:rsidRDefault="00DB5D10" w:rsidP="00FE3B9B">
      <w:pPr>
        <w:spacing w:line="360" w:lineRule="auto"/>
        <w:jc w:val="both"/>
        <w:rPr>
          <w:rFonts w:asciiTheme="majorHAnsi" w:hAnsiTheme="majorHAnsi" w:cstheme="majorHAnsi"/>
          <w:sz w:val="22"/>
          <w:szCs w:val="22"/>
        </w:rPr>
      </w:pPr>
    </w:p>
    <w:p w:rsidR="00DB5D10" w:rsidRDefault="00DB5D10" w:rsidP="00FE3B9B">
      <w:pPr>
        <w:spacing w:line="360" w:lineRule="auto"/>
        <w:jc w:val="both"/>
        <w:rPr>
          <w:rFonts w:asciiTheme="majorHAnsi" w:hAnsiTheme="majorHAnsi" w:cstheme="majorHAnsi"/>
          <w:sz w:val="22"/>
          <w:szCs w:val="22"/>
        </w:rPr>
      </w:pPr>
    </w:p>
    <w:p w:rsidR="00DB5D10" w:rsidRDefault="00DB5D10" w:rsidP="00FE3B9B">
      <w:pPr>
        <w:spacing w:line="360" w:lineRule="auto"/>
        <w:rPr>
          <w:rFonts w:asciiTheme="majorHAnsi" w:hAnsiTheme="majorHAnsi" w:cstheme="majorHAnsi"/>
          <w:sz w:val="22"/>
          <w:szCs w:val="22"/>
        </w:rPr>
      </w:pPr>
    </w:p>
    <w:p w:rsidR="00D272CE" w:rsidRDefault="00D272CE" w:rsidP="00FE3B9B">
      <w:pPr>
        <w:spacing w:line="360" w:lineRule="auto"/>
        <w:rPr>
          <w:rFonts w:ascii="Calibri" w:hAnsi="Calibri" w:cs="Calibri"/>
          <w:b/>
          <w:color w:val="A52432"/>
          <w:sz w:val="30"/>
          <w:szCs w:val="30"/>
          <w:lang w:val="en-GB"/>
        </w:rPr>
      </w:pPr>
      <w:r>
        <w:rPr>
          <w:rFonts w:ascii="Calibri" w:hAnsi="Calibri" w:cs="Calibri"/>
          <w:b/>
          <w:color w:val="A52432"/>
          <w:sz w:val="30"/>
          <w:szCs w:val="30"/>
          <w:lang w:val="en-GB"/>
        </w:rPr>
        <w:br w:type="page"/>
      </w:r>
    </w:p>
    <w:p w:rsidR="00E277A8" w:rsidRPr="00D272CE" w:rsidRDefault="00E277A8" w:rsidP="00FE3B9B">
      <w:pPr>
        <w:spacing w:line="360" w:lineRule="auto"/>
        <w:rPr>
          <w:rFonts w:ascii="Calibri" w:hAnsi="Calibri" w:cs="Calibri"/>
          <w:b/>
          <w:color w:val="A52432"/>
          <w:sz w:val="30"/>
          <w:szCs w:val="30"/>
          <w:lang w:val="en-GB"/>
        </w:rPr>
      </w:pPr>
      <w:r w:rsidRPr="00D272CE">
        <w:rPr>
          <w:rFonts w:ascii="Calibri" w:hAnsi="Calibri" w:cs="Calibri"/>
          <w:b/>
          <w:color w:val="A52432"/>
          <w:sz w:val="30"/>
          <w:szCs w:val="30"/>
          <w:lang w:val="en-GB"/>
        </w:rPr>
        <w:lastRenderedPageBreak/>
        <w:t>Workforce profile</w:t>
      </w:r>
    </w:p>
    <w:p w:rsidR="00E73FC3" w:rsidRDefault="00E73FC3" w:rsidP="00FE3B9B">
      <w:pPr>
        <w:spacing w:line="360" w:lineRule="auto"/>
        <w:rPr>
          <w:rFonts w:ascii="Calibri" w:hAnsi="Calibri" w:cs="Calibri"/>
          <w:sz w:val="22"/>
          <w:szCs w:val="22"/>
          <w:lang w:val="en-GB"/>
        </w:rPr>
      </w:pPr>
      <w:r w:rsidRPr="00E73FC3">
        <w:rPr>
          <w:rFonts w:ascii="Calibri" w:hAnsi="Calibri" w:cs="Calibri"/>
          <w:sz w:val="22"/>
          <w:szCs w:val="22"/>
          <w:lang w:val="en-GB"/>
        </w:rPr>
        <w:t>This section</w:t>
      </w:r>
      <w:r>
        <w:rPr>
          <w:rFonts w:ascii="Calibri" w:hAnsi="Calibri" w:cs="Calibri"/>
          <w:sz w:val="22"/>
          <w:szCs w:val="22"/>
          <w:lang w:val="en-GB"/>
        </w:rPr>
        <w:t xml:space="preserve"> provides a breakdown of data relating to the College’s workforce between 2008 and 2011.</w:t>
      </w:r>
    </w:p>
    <w:p w:rsidR="00E73FC3" w:rsidRDefault="00E73FC3" w:rsidP="00FE3B9B">
      <w:pPr>
        <w:spacing w:line="360" w:lineRule="auto"/>
        <w:rPr>
          <w:rFonts w:ascii="Calibri" w:hAnsi="Calibri" w:cs="Calibri"/>
          <w:sz w:val="22"/>
          <w:szCs w:val="22"/>
          <w:lang w:val="en-GB"/>
        </w:rPr>
      </w:pPr>
    </w:p>
    <w:p w:rsidR="00E73FC3" w:rsidRDefault="00E73FC3"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Make up of staff</w:t>
      </w:r>
    </w:p>
    <w:p w:rsidR="00E73FC3" w:rsidRPr="00E73FC3" w:rsidRDefault="00E73FC3" w:rsidP="00FE3B9B">
      <w:pPr>
        <w:spacing w:line="360" w:lineRule="auto"/>
        <w:rPr>
          <w:rFonts w:ascii="Calibri" w:hAnsi="Calibri" w:cs="Calibri"/>
          <w:sz w:val="22"/>
          <w:szCs w:val="22"/>
          <w:lang w:val="en-GB"/>
        </w:rPr>
      </w:pPr>
      <w:r>
        <w:rPr>
          <w:rFonts w:ascii="Calibri" w:hAnsi="Calibri" w:cs="Calibri"/>
          <w:sz w:val="22"/>
          <w:szCs w:val="22"/>
          <w:lang w:val="en-GB"/>
        </w:rPr>
        <w:t>The table below shows the permanent and sessional staff headcount comparison for the past 3 years.</w:t>
      </w:r>
    </w:p>
    <w:p w:rsidR="008F0922" w:rsidRDefault="008F0922" w:rsidP="00FE3B9B">
      <w:pPr>
        <w:spacing w:line="360" w:lineRule="auto"/>
        <w:rPr>
          <w:rFonts w:ascii="Calibri" w:hAnsi="Calibri" w:cs="Calibri"/>
          <w:b/>
          <w:color w:val="A52432"/>
          <w:sz w:val="30"/>
          <w:szCs w:val="30"/>
          <w:lang w:val="en-GB"/>
        </w:rPr>
      </w:pPr>
    </w:p>
    <w:p w:rsidR="008F0922" w:rsidRDefault="008F0922"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491A896E" wp14:editId="1A172E22">
            <wp:extent cx="5274310" cy="2519073"/>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0922" w:rsidRDefault="008F0922" w:rsidP="00FE3B9B">
      <w:pPr>
        <w:spacing w:line="360" w:lineRule="auto"/>
        <w:rPr>
          <w:rFonts w:ascii="Calibri" w:hAnsi="Calibri" w:cs="Calibri"/>
          <w:b/>
          <w:color w:val="A52432"/>
          <w:sz w:val="30"/>
          <w:szCs w:val="30"/>
          <w:lang w:val="en-GB"/>
        </w:rPr>
      </w:pPr>
    </w:p>
    <w:p w:rsidR="008F0922" w:rsidRDefault="00E73FC3" w:rsidP="00FE3B9B">
      <w:pPr>
        <w:spacing w:line="360" w:lineRule="auto"/>
        <w:rPr>
          <w:rFonts w:ascii="Calibri" w:hAnsi="Calibri" w:cs="Calibri"/>
          <w:sz w:val="22"/>
          <w:szCs w:val="22"/>
          <w:lang w:val="en-GB"/>
        </w:rPr>
      </w:pPr>
      <w:r>
        <w:rPr>
          <w:rFonts w:ascii="Calibri" w:hAnsi="Calibri" w:cs="Calibri"/>
          <w:sz w:val="22"/>
          <w:szCs w:val="22"/>
          <w:lang w:val="en-GB"/>
        </w:rPr>
        <w:t>The below table shows the delivery and support staff comparisons for the past 3 years both as headcount and as a full time equivalent (FTE) figure.</w:t>
      </w:r>
    </w:p>
    <w:p w:rsidR="00E73FC3" w:rsidRDefault="00E73FC3" w:rsidP="00FE3B9B">
      <w:pPr>
        <w:spacing w:line="360" w:lineRule="auto"/>
        <w:rPr>
          <w:rFonts w:ascii="Calibri" w:hAnsi="Calibri" w:cs="Calibri"/>
          <w:sz w:val="22"/>
          <w:szCs w:val="22"/>
          <w:lang w:val="en-GB"/>
        </w:rPr>
      </w:pPr>
    </w:p>
    <w:p w:rsidR="00E73FC3" w:rsidRDefault="00E73FC3" w:rsidP="00FE3B9B">
      <w:pPr>
        <w:spacing w:line="360" w:lineRule="auto"/>
        <w:rPr>
          <w:rFonts w:ascii="Calibri" w:hAnsi="Calibri" w:cs="Calibri"/>
          <w:sz w:val="22"/>
          <w:szCs w:val="22"/>
          <w:lang w:val="en-GB"/>
        </w:rPr>
      </w:pPr>
      <w:r>
        <w:rPr>
          <w:rFonts w:ascii="Calibri" w:hAnsi="Calibri" w:cs="Calibri"/>
          <w:sz w:val="22"/>
          <w:szCs w:val="22"/>
          <w:lang w:val="en-GB"/>
        </w:rPr>
        <w:t>The support staff headcount has increased over the past year with the FTE for the same staff remaining fairly constant suggesting an increase in the number of support staff on part time contracts.</w:t>
      </w:r>
    </w:p>
    <w:p w:rsidR="00E73FC3" w:rsidRDefault="00E73FC3" w:rsidP="00FE3B9B">
      <w:pPr>
        <w:spacing w:line="360" w:lineRule="auto"/>
        <w:rPr>
          <w:rFonts w:ascii="Calibri" w:hAnsi="Calibri" w:cs="Calibri"/>
          <w:sz w:val="22"/>
          <w:szCs w:val="22"/>
          <w:lang w:val="en-GB"/>
        </w:rPr>
      </w:pPr>
    </w:p>
    <w:p w:rsidR="00282847" w:rsidRPr="00E73FC3" w:rsidRDefault="00282847" w:rsidP="00FE3B9B">
      <w:pPr>
        <w:spacing w:line="360" w:lineRule="auto"/>
        <w:rPr>
          <w:rFonts w:ascii="Calibri" w:hAnsi="Calibri" w:cs="Calibri"/>
          <w:sz w:val="22"/>
          <w:szCs w:val="22"/>
          <w:lang w:val="en-GB"/>
        </w:rPr>
      </w:pPr>
      <w:r>
        <w:rPr>
          <w:rFonts w:ascii="Calibri" w:hAnsi="Calibri" w:cs="Calibri"/>
          <w:sz w:val="22"/>
          <w:szCs w:val="22"/>
          <w:lang w:val="en-GB"/>
        </w:rPr>
        <w:t>The table also shows a slight reduction in the headcount and FTE of delivery staff during the end of the year.</w:t>
      </w:r>
    </w:p>
    <w:p w:rsidR="008F0922" w:rsidRPr="00503B37" w:rsidRDefault="008F0922" w:rsidP="00FE3B9B">
      <w:pPr>
        <w:spacing w:line="360" w:lineRule="auto"/>
        <w:rPr>
          <w:rFonts w:ascii="Calibri" w:hAnsi="Calibri" w:cs="Calibri"/>
          <w:b/>
          <w:color w:val="A52432"/>
          <w:sz w:val="22"/>
          <w:szCs w:val="22"/>
          <w:lang w:val="en-GB"/>
        </w:rPr>
      </w:pPr>
      <w:r w:rsidRPr="00503B37">
        <w:rPr>
          <w:noProof/>
          <w:sz w:val="22"/>
          <w:szCs w:val="22"/>
          <w:lang w:val="en-GB" w:eastAsia="en-GB"/>
        </w:rPr>
        <w:lastRenderedPageBreak/>
        <w:drawing>
          <wp:inline distT="0" distB="0" distL="0" distR="0" wp14:anchorId="1C5E2443" wp14:editId="62A1CD05">
            <wp:extent cx="5274310" cy="2565881"/>
            <wp:effectExtent l="0" t="0" r="254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0922" w:rsidRPr="00503B37" w:rsidRDefault="008F0922" w:rsidP="00FE3B9B">
      <w:pPr>
        <w:spacing w:line="360" w:lineRule="auto"/>
        <w:rPr>
          <w:rFonts w:ascii="Calibri" w:hAnsi="Calibri" w:cs="Calibri"/>
          <w:b/>
          <w:color w:val="A52432"/>
          <w:sz w:val="22"/>
          <w:szCs w:val="22"/>
          <w:lang w:val="en-GB"/>
        </w:rPr>
      </w:pPr>
    </w:p>
    <w:p w:rsidR="00282847" w:rsidRPr="00503B37" w:rsidRDefault="00282847" w:rsidP="00FE3B9B">
      <w:pPr>
        <w:spacing w:line="360" w:lineRule="auto"/>
        <w:rPr>
          <w:rFonts w:ascii="Calibri" w:hAnsi="Calibri" w:cs="Calibri"/>
          <w:sz w:val="22"/>
          <w:szCs w:val="22"/>
          <w:lang w:val="en-GB"/>
        </w:rPr>
      </w:pPr>
      <w:r w:rsidRPr="00503B37">
        <w:rPr>
          <w:rFonts w:ascii="Calibri" w:hAnsi="Calibri" w:cs="Calibri"/>
          <w:sz w:val="22"/>
          <w:szCs w:val="22"/>
          <w:lang w:val="en-GB"/>
        </w:rPr>
        <w:t>The data within the following section has been calculated using an average of the figures for each year.</w:t>
      </w:r>
    </w:p>
    <w:p w:rsidR="00282847" w:rsidRPr="00503B37" w:rsidRDefault="00282847" w:rsidP="00FE3B9B">
      <w:pPr>
        <w:spacing w:line="360" w:lineRule="auto"/>
        <w:rPr>
          <w:rFonts w:ascii="Calibri" w:hAnsi="Calibri" w:cs="Calibri"/>
          <w:sz w:val="22"/>
          <w:szCs w:val="22"/>
          <w:lang w:val="en-GB"/>
        </w:rPr>
      </w:pPr>
    </w:p>
    <w:p w:rsidR="00282847" w:rsidRPr="00503B37" w:rsidRDefault="00282847" w:rsidP="00FE3B9B">
      <w:pPr>
        <w:spacing w:line="360" w:lineRule="auto"/>
        <w:rPr>
          <w:rFonts w:ascii="Calibri" w:hAnsi="Calibri" w:cs="Calibri"/>
          <w:b/>
          <w:color w:val="A52432"/>
          <w:sz w:val="22"/>
          <w:szCs w:val="22"/>
          <w:lang w:val="en-GB"/>
        </w:rPr>
      </w:pPr>
      <w:r w:rsidRPr="00503B37">
        <w:rPr>
          <w:rFonts w:ascii="Calibri" w:hAnsi="Calibri" w:cs="Calibri"/>
          <w:b/>
          <w:color w:val="A52432"/>
          <w:sz w:val="22"/>
          <w:szCs w:val="22"/>
          <w:lang w:val="en-GB"/>
        </w:rPr>
        <w:t>Disability</w:t>
      </w:r>
    </w:p>
    <w:p w:rsidR="00282847" w:rsidRPr="00503B37" w:rsidRDefault="00282847" w:rsidP="00FE3B9B">
      <w:pPr>
        <w:spacing w:line="360" w:lineRule="auto"/>
        <w:rPr>
          <w:rFonts w:ascii="Calibri" w:hAnsi="Calibri" w:cs="Calibri"/>
          <w:sz w:val="22"/>
          <w:szCs w:val="22"/>
          <w:lang w:val="en-GB"/>
        </w:rPr>
      </w:pPr>
      <w:r w:rsidRPr="00503B37">
        <w:rPr>
          <w:rFonts w:ascii="Calibri" w:hAnsi="Calibri" w:cs="Calibri"/>
          <w:sz w:val="22"/>
          <w:szCs w:val="22"/>
          <w:lang w:val="en-GB"/>
        </w:rPr>
        <w:t>The number of staff declaring a disability has increased year on year for the past 3 years whilst the number of staff with an unknown disability status has decreased year on year for the same period.</w:t>
      </w:r>
    </w:p>
    <w:p w:rsidR="00503B37" w:rsidRPr="00503B37" w:rsidRDefault="00503B37" w:rsidP="00FE3B9B">
      <w:pPr>
        <w:spacing w:line="360" w:lineRule="auto"/>
        <w:rPr>
          <w:rFonts w:ascii="Calibri" w:hAnsi="Calibri" w:cs="Calibri"/>
          <w:sz w:val="22"/>
          <w:szCs w:val="22"/>
          <w:lang w:val="en-GB"/>
        </w:rPr>
      </w:pPr>
    </w:p>
    <w:p w:rsidR="00026B54" w:rsidRPr="00503B37" w:rsidRDefault="00026B54" w:rsidP="00FE3B9B">
      <w:pPr>
        <w:spacing w:line="360" w:lineRule="auto"/>
        <w:rPr>
          <w:rFonts w:ascii="Calibri" w:hAnsi="Calibri" w:cs="Calibri"/>
          <w:b/>
          <w:color w:val="A52432"/>
          <w:sz w:val="22"/>
          <w:szCs w:val="22"/>
          <w:lang w:val="en-GB"/>
        </w:rPr>
      </w:pPr>
      <w:r w:rsidRPr="00503B37">
        <w:rPr>
          <w:noProof/>
          <w:sz w:val="22"/>
          <w:szCs w:val="22"/>
          <w:lang w:val="en-GB" w:eastAsia="en-GB"/>
        </w:rPr>
        <w:drawing>
          <wp:inline distT="0" distB="0" distL="0" distR="0" wp14:anchorId="744318DF" wp14:editId="4D1E1DF8">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2847" w:rsidRDefault="00282847"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lastRenderedPageBreak/>
        <w:t>Ethnicity</w:t>
      </w:r>
    </w:p>
    <w:p w:rsidR="00282847" w:rsidRDefault="00503B37" w:rsidP="00FE3B9B">
      <w:pPr>
        <w:spacing w:line="360" w:lineRule="auto"/>
        <w:rPr>
          <w:rFonts w:ascii="Calibri" w:hAnsi="Calibri" w:cs="Calibri"/>
          <w:sz w:val="22"/>
          <w:szCs w:val="22"/>
          <w:lang w:val="en-GB"/>
        </w:rPr>
      </w:pPr>
      <w:r>
        <w:rPr>
          <w:rFonts w:ascii="Calibri" w:hAnsi="Calibri" w:cs="Calibri"/>
          <w:sz w:val="22"/>
          <w:szCs w:val="22"/>
          <w:lang w:val="en-GB"/>
        </w:rPr>
        <w:t>The college</w:t>
      </w:r>
      <w:r w:rsidR="00015EB9">
        <w:rPr>
          <w:rFonts w:ascii="Calibri" w:hAnsi="Calibri" w:cs="Calibri"/>
          <w:sz w:val="22"/>
          <w:szCs w:val="22"/>
          <w:lang w:val="en-GB"/>
        </w:rPr>
        <w:t>’</w:t>
      </w:r>
      <w:r>
        <w:rPr>
          <w:rFonts w:ascii="Calibri" w:hAnsi="Calibri" w:cs="Calibri"/>
          <w:sz w:val="22"/>
          <w:szCs w:val="22"/>
          <w:lang w:val="en-GB"/>
        </w:rPr>
        <w:t>s workforce who are from ethnic minority backgrounds increased at the end of 2010/11 to 5.2% from 4.8% at the end of 2009/10. Although this is a positive increase it remains below the college’s target of 7.6% to bring it in line with that of the student profile.</w:t>
      </w:r>
    </w:p>
    <w:p w:rsidR="00503B37" w:rsidRPr="00282847" w:rsidRDefault="00503B37" w:rsidP="00FE3B9B">
      <w:pPr>
        <w:spacing w:line="360" w:lineRule="auto"/>
        <w:rPr>
          <w:rFonts w:ascii="Calibri" w:hAnsi="Calibri" w:cs="Calibri"/>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37D3BEBA" wp14:editId="5148BDFC">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72CE" w:rsidRDefault="00503B37"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Age</w:t>
      </w:r>
    </w:p>
    <w:p w:rsidR="00503B37" w:rsidRDefault="00503B37" w:rsidP="00FE3B9B">
      <w:pPr>
        <w:spacing w:line="360" w:lineRule="auto"/>
        <w:rPr>
          <w:rFonts w:ascii="Calibri" w:hAnsi="Calibri" w:cs="Calibri"/>
          <w:sz w:val="22"/>
          <w:szCs w:val="22"/>
          <w:lang w:val="en-GB"/>
        </w:rPr>
      </w:pPr>
      <w:r>
        <w:rPr>
          <w:rFonts w:ascii="Calibri" w:hAnsi="Calibri" w:cs="Calibri"/>
          <w:sz w:val="22"/>
          <w:szCs w:val="22"/>
          <w:lang w:val="en-GB"/>
        </w:rPr>
        <w:t>The College’s age profile has remained fairly consistent for the past 3 years.</w:t>
      </w:r>
    </w:p>
    <w:p w:rsidR="00503B37" w:rsidRPr="00503B37" w:rsidRDefault="00503B37" w:rsidP="00FE3B9B">
      <w:pPr>
        <w:spacing w:line="360" w:lineRule="auto"/>
        <w:rPr>
          <w:rFonts w:ascii="Calibri" w:hAnsi="Calibri" w:cs="Calibri"/>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6EAD5345" wp14:editId="0A607F65">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6B54" w:rsidRDefault="00503B37"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lastRenderedPageBreak/>
        <w:t>Gender</w:t>
      </w:r>
    </w:p>
    <w:p w:rsidR="00036B2E" w:rsidRDefault="00503B37" w:rsidP="00FE3B9B">
      <w:pPr>
        <w:spacing w:line="360" w:lineRule="auto"/>
        <w:rPr>
          <w:rFonts w:ascii="Calibri" w:hAnsi="Calibri" w:cs="Calibri"/>
          <w:sz w:val="22"/>
          <w:szCs w:val="22"/>
          <w:lang w:val="en-GB"/>
        </w:rPr>
      </w:pPr>
      <w:r>
        <w:rPr>
          <w:rFonts w:ascii="Calibri" w:hAnsi="Calibri" w:cs="Calibri"/>
          <w:sz w:val="22"/>
          <w:szCs w:val="22"/>
          <w:lang w:val="en-GB"/>
        </w:rPr>
        <w:t>The College workforce has always had a large gender gap with this gap increasing in 2010/11 when compared to previous years’ figures. This is not surprisi</w:t>
      </w:r>
      <w:r w:rsidR="00015EB9">
        <w:rPr>
          <w:rFonts w:ascii="Calibri" w:hAnsi="Calibri" w:cs="Calibri"/>
          <w:sz w:val="22"/>
          <w:szCs w:val="22"/>
          <w:lang w:val="en-GB"/>
        </w:rPr>
        <w:t>ng w</w:t>
      </w:r>
      <w:r>
        <w:rPr>
          <w:rFonts w:ascii="Calibri" w:hAnsi="Calibri" w:cs="Calibri"/>
          <w:sz w:val="22"/>
          <w:szCs w:val="22"/>
          <w:lang w:val="en-GB"/>
        </w:rPr>
        <w:t>hen looking at the recruitment data in the pre</w:t>
      </w:r>
      <w:r w:rsidR="00015EB9">
        <w:rPr>
          <w:rFonts w:ascii="Calibri" w:hAnsi="Calibri" w:cs="Calibri"/>
          <w:sz w:val="22"/>
          <w:szCs w:val="22"/>
          <w:lang w:val="en-GB"/>
        </w:rPr>
        <w:t>v</w:t>
      </w:r>
      <w:r>
        <w:rPr>
          <w:rFonts w:ascii="Calibri" w:hAnsi="Calibri" w:cs="Calibri"/>
          <w:sz w:val="22"/>
          <w:szCs w:val="22"/>
          <w:lang w:val="en-GB"/>
        </w:rPr>
        <w:t>ious section.</w:t>
      </w:r>
      <w:r w:rsidR="00036B2E">
        <w:rPr>
          <w:rFonts w:ascii="Calibri" w:hAnsi="Calibri" w:cs="Calibri"/>
          <w:sz w:val="22"/>
          <w:szCs w:val="22"/>
          <w:lang w:val="en-GB"/>
        </w:rPr>
        <w:t xml:space="preserve"> </w:t>
      </w:r>
    </w:p>
    <w:p w:rsidR="00036B2E" w:rsidRDefault="00036B2E" w:rsidP="00FE3B9B">
      <w:pPr>
        <w:spacing w:line="360" w:lineRule="auto"/>
        <w:rPr>
          <w:rFonts w:ascii="Calibri" w:hAnsi="Calibri" w:cs="Calibri"/>
          <w:sz w:val="22"/>
          <w:szCs w:val="22"/>
          <w:lang w:val="en-GB"/>
        </w:rPr>
      </w:pPr>
    </w:p>
    <w:p w:rsidR="00036B2E" w:rsidRDefault="00036B2E" w:rsidP="00036B2E">
      <w:pPr>
        <w:spacing w:line="360" w:lineRule="auto"/>
        <w:rPr>
          <w:rFonts w:asciiTheme="majorHAnsi" w:hAnsiTheme="majorHAnsi" w:cstheme="majorHAnsi"/>
          <w:sz w:val="22"/>
          <w:szCs w:val="22"/>
        </w:rPr>
      </w:pPr>
      <w:r>
        <w:rPr>
          <w:rFonts w:asciiTheme="majorHAnsi" w:hAnsiTheme="majorHAnsi" w:cstheme="majorHAnsi"/>
          <w:sz w:val="22"/>
          <w:szCs w:val="22"/>
        </w:rPr>
        <w:t>LLUK reported the ratio of male:female split of college employees to be 36:64 in 2009/10. Which is identical to that at West Notts for the same period.</w:t>
      </w:r>
    </w:p>
    <w:p w:rsidR="00015EB9" w:rsidRDefault="00015EB9" w:rsidP="00FE3B9B">
      <w:pPr>
        <w:spacing w:line="360" w:lineRule="auto"/>
        <w:rPr>
          <w:rFonts w:ascii="Calibri" w:hAnsi="Calibri" w:cs="Calibri"/>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33040CCD" wp14:editId="3D6BD669">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6B54" w:rsidRDefault="00026B54" w:rsidP="00FE3B9B">
      <w:pPr>
        <w:spacing w:line="360" w:lineRule="auto"/>
        <w:rPr>
          <w:rFonts w:ascii="Calibri" w:hAnsi="Calibri" w:cs="Calibri"/>
          <w:b/>
          <w:color w:val="A52432"/>
          <w:sz w:val="30"/>
          <w:szCs w:val="30"/>
          <w:lang w:val="en-GB"/>
        </w:rPr>
      </w:pPr>
    </w:p>
    <w:p w:rsidR="00503B37" w:rsidRDefault="00503B37">
      <w:pPr>
        <w:rPr>
          <w:rFonts w:ascii="Calibri" w:hAnsi="Calibri" w:cs="Calibri"/>
          <w:b/>
          <w:color w:val="A52432"/>
          <w:sz w:val="30"/>
          <w:szCs w:val="30"/>
          <w:lang w:val="en-GB"/>
        </w:rPr>
      </w:pPr>
      <w:r>
        <w:rPr>
          <w:rFonts w:ascii="Calibri" w:hAnsi="Calibri" w:cs="Calibri"/>
          <w:b/>
          <w:color w:val="A52432"/>
          <w:sz w:val="30"/>
          <w:szCs w:val="30"/>
          <w:lang w:val="en-GB"/>
        </w:rPr>
        <w:br w:type="page"/>
      </w:r>
    </w:p>
    <w:p w:rsidR="00E277A8" w:rsidRDefault="00E277A8" w:rsidP="00FE3B9B">
      <w:pPr>
        <w:spacing w:line="360" w:lineRule="auto"/>
        <w:rPr>
          <w:rFonts w:ascii="Calibri" w:hAnsi="Calibri" w:cs="Calibri"/>
          <w:b/>
          <w:color w:val="A52432"/>
          <w:sz w:val="30"/>
          <w:szCs w:val="30"/>
          <w:lang w:val="en-GB"/>
        </w:rPr>
      </w:pPr>
      <w:r w:rsidRPr="00D272CE">
        <w:rPr>
          <w:rFonts w:ascii="Calibri" w:hAnsi="Calibri" w:cs="Calibri"/>
          <w:b/>
          <w:color w:val="A52432"/>
          <w:sz w:val="30"/>
          <w:szCs w:val="30"/>
          <w:lang w:val="en-GB"/>
        </w:rPr>
        <w:lastRenderedPageBreak/>
        <w:t>Leavers</w:t>
      </w:r>
    </w:p>
    <w:p w:rsidR="00672AFA" w:rsidRDefault="00672AFA" w:rsidP="00FE3B9B">
      <w:pPr>
        <w:spacing w:line="360" w:lineRule="auto"/>
        <w:rPr>
          <w:rFonts w:ascii="Calibri" w:hAnsi="Calibri" w:cs="Calibri"/>
          <w:sz w:val="22"/>
          <w:szCs w:val="22"/>
          <w:lang w:val="en-GB"/>
        </w:rPr>
      </w:pPr>
      <w:r>
        <w:rPr>
          <w:rFonts w:ascii="Calibri" w:hAnsi="Calibri" w:cs="Calibri"/>
          <w:sz w:val="22"/>
          <w:szCs w:val="22"/>
          <w:lang w:val="en-GB"/>
        </w:rPr>
        <w:t>This section compares employees leaving the college during this academic year with the College’s current workforce profile.</w:t>
      </w:r>
    </w:p>
    <w:p w:rsidR="00672AFA" w:rsidRDefault="00672AFA" w:rsidP="00FE3B9B">
      <w:pPr>
        <w:spacing w:line="360" w:lineRule="auto"/>
        <w:rPr>
          <w:rFonts w:ascii="Calibri" w:hAnsi="Calibri" w:cs="Calibri"/>
          <w:sz w:val="22"/>
          <w:szCs w:val="22"/>
          <w:lang w:val="en-GB"/>
        </w:rPr>
      </w:pPr>
    </w:p>
    <w:p w:rsidR="00672AFA" w:rsidRPr="00672AFA" w:rsidRDefault="00672AFA" w:rsidP="00FE3B9B">
      <w:pPr>
        <w:spacing w:line="360" w:lineRule="auto"/>
        <w:rPr>
          <w:rFonts w:ascii="Calibri" w:hAnsi="Calibri" w:cs="Calibri"/>
          <w:b/>
          <w:color w:val="A52432"/>
          <w:sz w:val="22"/>
          <w:szCs w:val="22"/>
          <w:lang w:val="en-GB"/>
        </w:rPr>
      </w:pPr>
      <w:r w:rsidRPr="00672AFA">
        <w:rPr>
          <w:rFonts w:ascii="Calibri" w:hAnsi="Calibri" w:cs="Calibri"/>
          <w:b/>
          <w:color w:val="A52432"/>
          <w:sz w:val="22"/>
          <w:szCs w:val="22"/>
          <w:lang w:val="en-GB"/>
        </w:rPr>
        <w:t>Disability</w:t>
      </w:r>
    </w:p>
    <w:p w:rsidR="00672AFA" w:rsidRPr="00672AFA" w:rsidRDefault="00672AFA" w:rsidP="00FE3B9B">
      <w:pPr>
        <w:spacing w:line="360" w:lineRule="auto"/>
        <w:rPr>
          <w:rFonts w:ascii="Calibri" w:hAnsi="Calibri" w:cs="Calibri"/>
          <w:sz w:val="22"/>
          <w:szCs w:val="22"/>
          <w:lang w:val="en-GB"/>
        </w:rPr>
      </w:pPr>
      <w:r>
        <w:rPr>
          <w:rFonts w:ascii="Calibri" w:hAnsi="Calibri" w:cs="Calibri"/>
          <w:sz w:val="22"/>
          <w:szCs w:val="22"/>
          <w:lang w:val="en-GB"/>
        </w:rPr>
        <w:t>For the second year running there is in increased percentage of applicants with an unknown disability status leaving the College</w:t>
      </w:r>
      <w:r w:rsidR="0031125D">
        <w:rPr>
          <w:rFonts w:ascii="Calibri" w:hAnsi="Calibri" w:cs="Calibri"/>
          <w:sz w:val="22"/>
          <w:szCs w:val="22"/>
          <w:lang w:val="en-GB"/>
        </w:rPr>
        <w:t>’</w:t>
      </w:r>
      <w:r>
        <w:rPr>
          <w:rFonts w:ascii="Calibri" w:hAnsi="Calibri" w:cs="Calibri"/>
          <w:sz w:val="22"/>
          <w:szCs w:val="22"/>
          <w:lang w:val="en-GB"/>
        </w:rPr>
        <w:t>s employment when compared to the current staffing profile. This together with no applicants with an unknown status is helping to improve this data for our current workforce.</w:t>
      </w:r>
    </w:p>
    <w:p w:rsidR="00672AFA" w:rsidRPr="00672AFA" w:rsidRDefault="00672AFA" w:rsidP="00FE3B9B">
      <w:pPr>
        <w:spacing w:line="360" w:lineRule="auto"/>
        <w:rPr>
          <w:rFonts w:ascii="Calibri" w:hAnsi="Calibri" w:cs="Calibri"/>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6D0D4DFD" wp14:editId="3275C691">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2AFA" w:rsidRPr="00672AFA" w:rsidRDefault="00672AFA" w:rsidP="00FE3B9B">
      <w:pPr>
        <w:spacing w:line="360" w:lineRule="auto"/>
        <w:rPr>
          <w:rFonts w:ascii="Calibri" w:hAnsi="Calibri" w:cs="Calibri"/>
          <w:sz w:val="22"/>
          <w:szCs w:val="22"/>
          <w:lang w:val="en-GB"/>
        </w:rPr>
      </w:pPr>
    </w:p>
    <w:p w:rsidR="00672AFA" w:rsidRDefault="00672AFA" w:rsidP="00FE3B9B">
      <w:pPr>
        <w:spacing w:line="360" w:lineRule="auto"/>
        <w:rPr>
          <w:rFonts w:ascii="Calibri" w:hAnsi="Calibri" w:cs="Calibri"/>
          <w:sz w:val="22"/>
          <w:szCs w:val="22"/>
          <w:lang w:val="en-GB"/>
        </w:rPr>
      </w:pPr>
      <w:r w:rsidRPr="00672AFA">
        <w:rPr>
          <w:rFonts w:ascii="Calibri" w:hAnsi="Calibri" w:cs="Calibri"/>
          <w:sz w:val="22"/>
          <w:szCs w:val="22"/>
          <w:lang w:val="en-GB"/>
        </w:rPr>
        <w:t>A higher proportion of leavers</w:t>
      </w:r>
      <w:r>
        <w:rPr>
          <w:rFonts w:ascii="Calibri" w:hAnsi="Calibri" w:cs="Calibri"/>
          <w:sz w:val="22"/>
          <w:szCs w:val="22"/>
          <w:lang w:val="en-GB"/>
        </w:rPr>
        <w:t xml:space="preserve"> are not registered disabled which is a positive indication of disabled staff being satisfied in their employment with the College.</w:t>
      </w:r>
    </w:p>
    <w:p w:rsidR="00672AFA" w:rsidRDefault="00672AFA" w:rsidP="00FE3B9B">
      <w:pPr>
        <w:spacing w:line="360" w:lineRule="auto"/>
        <w:rPr>
          <w:rFonts w:ascii="Calibri" w:hAnsi="Calibri" w:cs="Calibri"/>
          <w:sz w:val="22"/>
          <w:szCs w:val="22"/>
          <w:lang w:val="en-GB"/>
        </w:rPr>
      </w:pPr>
    </w:p>
    <w:p w:rsidR="00672AFA" w:rsidRDefault="00672AFA"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Ethnicity</w:t>
      </w:r>
    </w:p>
    <w:p w:rsidR="00672AFA" w:rsidRDefault="00672AFA" w:rsidP="00FE3B9B">
      <w:pPr>
        <w:spacing w:line="360" w:lineRule="auto"/>
        <w:rPr>
          <w:rFonts w:ascii="Calibri" w:hAnsi="Calibri" w:cs="Calibri"/>
          <w:sz w:val="22"/>
          <w:szCs w:val="22"/>
          <w:lang w:val="en-GB"/>
        </w:rPr>
      </w:pPr>
      <w:r>
        <w:rPr>
          <w:rFonts w:ascii="Calibri" w:hAnsi="Calibri" w:cs="Calibri"/>
          <w:sz w:val="22"/>
          <w:szCs w:val="22"/>
          <w:lang w:val="en-GB"/>
        </w:rPr>
        <w:t>The higher percentage of unknowns leaving the college’s employment together with no applicants with an unknown status is helping to improve this data for our current workforce.</w:t>
      </w:r>
    </w:p>
    <w:p w:rsidR="00672AFA" w:rsidRDefault="00672AFA" w:rsidP="00FE3B9B">
      <w:pPr>
        <w:spacing w:line="360" w:lineRule="auto"/>
        <w:rPr>
          <w:rFonts w:ascii="Calibri" w:hAnsi="Calibri" w:cs="Calibri"/>
          <w:sz w:val="22"/>
          <w:szCs w:val="22"/>
          <w:lang w:val="en-GB"/>
        </w:rPr>
      </w:pPr>
    </w:p>
    <w:p w:rsidR="00672AFA" w:rsidRDefault="00672AFA" w:rsidP="00FE3B9B">
      <w:pPr>
        <w:spacing w:line="360" w:lineRule="auto"/>
        <w:rPr>
          <w:rFonts w:ascii="Calibri" w:hAnsi="Calibri" w:cs="Calibri"/>
          <w:sz w:val="22"/>
          <w:szCs w:val="22"/>
          <w:lang w:val="en-GB"/>
        </w:rPr>
      </w:pPr>
      <w:r>
        <w:rPr>
          <w:rFonts w:ascii="Calibri" w:hAnsi="Calibri" w:cs="Calibri"/>
          <w:sz w:val="22"/>
          <w:szCs w:val="22"/>
          <w:lang w:val="en-GB"/>
        </w:rPr>
        <w:lastRenderedPageBreak/>
        <w:t>Although the percentage of BME staff leaving the college has increased the percentage of the workforce from ethnic minority backgrounds has not decreased over the year.</w:t>
      </w:r>
    </w:p>
    <w:p w:rsidR="004B42E2" w:rsidRDefault="004B42E2" w:rsidP="00FE3B9B">
      <w:pPr>
        <w:spacing w:line="360" w:lineRule="auto"/>
        <w:rPr>
          <w:rFonts w:ascii="Calibri" w:hAnsi="Calibri" w:cs="Calibri"/>
          <w:sz w:val="22"/>
          <w:szCs w:val="22"/>
          <w:lang w:val="en-GB"/>
        </w:rPr>
      </w:pPr>
    </w:p>
    <w:p w:rsidR="004B42E2" w:rsidRPr="0031125D" w:rsidRDefault="004B42E2" w:rsidP="00FE3B9B">
      <w:pPr>
        <w:spacing w:line="360" w:lineRule="auto"/>
        <w:rPr>
          <w:rFonts w:ascii="Calibri" w:hAnsi="Calibri" w:cs="Calibri"/>
          <w:color w:val="FF0000"/>
          <w:sz w:val="22"/>
          <w:szCs w:val="22"/>
          <w:lang w:val="en-GB"/>
        </w:rPr>
      </w:pPr>
      <w:r>
        <w:rPr>
          <w:rFonts w:ascii="Calibri" w:hAnsi="Calibri" w:cs="Calibri"/>
          <w:sz w:val="22"/>
          <w:szCs w:val="22"/>
          <w:lang w:val="en-GB"/>
        </w:rPr>
        <w:t xml:space="preserve">The average length of service for staff from BME background is less than </w:t>
      </w:r>
      <w:r w:rsidR="0031125D">
        <w:rPr>
          <w:rFonts w:ascii="Calibri" w:hAnsi="Calibri" w:cs="Calibri"/>
          <w:sz w:val="22"/>
          <w:szCs w:val="22"/>
          <w:lang w:val="en-GB"/>
        </w:rPr>
        <w:t xml:space="preserve">that of White British employees, this could be attributed to the increase in BME over the past 3 years therefore the length of service will be less on </w:t>
      </w:r>
      <w:r w:rsidR="0031125D" w:rsidRPr="0031125D">
        <w:rPr>
          <w:rFonts w:ascii="Calibri" w:hAnsi="Calibri" w:cs="Calibri"/>
          <w:sz w:val="22"/>
          <w:szCs w:val="22"/>
          <w:lang w:val="en-GB"/>
        </w:rPr>
        <w:t>average.</w:t>
      </w:r>
    </w:p>
    <w:p w:rsidR="00036B2E" w:rsidRDefault="00036B2E" w:rsidP="00FE3B9B">
      <w:pPr>
        <w:spacing w:line="360" w:lineRule="auto"/>
        <w:rPr>
          <w:rFonts w:ascii="Calibri" w:hAnsi="Calibri" w:cs="Calibri"/>
          <w:sz w:val="22"/>
          <w:szCs w:val="22"/>
          <w:lang w:val="en-GB"/>
        </w:rPr>
      </w:pPr>
    </w:p>
    <w:p w:rsidR="008D63D8" w:rsidRDefault="0031125D" w:rsidP="00FE3B9B">
      <w:pPr>
        <w:spacing w:line="360" w:lineRule="auto"/>
        <w:rPr>
          <w:rFonts w:ascii="Calibri" w:hAnsi="Calibri" w:cs="Calibri"/>
          <w:sz w:val="22"/>
          <w:szCs w:val="22"/>
          <w:lang w:val="en-GB"/>
        </w:rPr>
      </w:pPr>
      <w:r>
        <w:rPr>
          <w:rFonts w:ascii="Calibri" w:hAnsi="Calibri" w:cs="Calibri"/>
          <w:sz w:val="22"/>
          <w:szCs w:val="22"/>
          <w:lang w:val="en-GB"/>
        </w:rPr>
        <w:t xml:space="preserve">The number of leavers in total is 170 and 16 of these leavers are from a minority group </w:t>
      </w:r>
      <w:r w:rsidR="008D63D8">
        <w:rPr>
          <w:rFonts w:ascii="Calibri" w:hAnsi="Calibri" w:cs="Calibri"/>
          <w:sz w:val="22"/>
          <w:szCs w:val="22"/>
          <w:lang w:val="en-GB"/>
        </w:rPr>
        <w:t>and equates to a higher percentage than employed however after further analysis of these leavers there are only 8 permanent staff and there are no identified areas of concern from their exit surveys.</w:t>
      </w:r>
    </w:p>
    <w:p w:rsidR="00672AFA" w:rsidRPr="00672AFA" w:rsidRDefault="00672AFA" w:rsidP="00FE3B9B">
      <w:pPr>
        <w:spacing w:line="360" w:lineRule="auto"/>
        <w:rPr>
          <w:rFonts w:ascii="Calibri" w:hAnsi="Calibri" w:cs="Calibri"/>
          <w:color w:val="FF0000"/>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6B4F727A" wp14:editId="61E7AF4D">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2AFA" w:rsidRDefault="00672AFA" w:rsidP="00FE3B9B">
      <w:pPr>
        <w:spacing w:line="360" w:lineRule="auto"/>
        <w:rPr>
          <w:rFonts w:ascii="Calibri" w:hAnsi="Calibri" w:cs="Calibri"/>
          <w:b/>
          <w:color w:val="A52432"/>
          <w:sz w:val="22"/>
          <w:szCs w:val="22"/>
          <w:lang w:val="en-GB"/>
        </w:rPr>
      </w:pPr>
    </w:p>
    <w:p w:rsidR="00672AFA" w:rsidRDefault="00672AFA"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Age</w:t>
      </w:r>
    </w:p>
    <w:p w:rsidR="00672AFA" w:rsidRPr="00672AFA" w:rsidRDefault="004B42E2" w:rsidP="00FE3B9B">
      <w:pPr>
        <w:spacing w:line="360" w:lineRule="auto"/>
        <w:rPr>
          <w:rFonts w:ascii="Calibri" w:hAnsi="Calibri" w:cs="Calibri"/>
          <w:sz w:val="22"/>
          <w:szCs w:val="22"/>
          <w:lang w:val="en-GB"/>
        </w:rPr>
      </w:pPr>
      <w:r>
        <w:rPr>
          <w:rFonts w:ascii="Calibri" w:hAnsi="Calibri" w:cs="Calibri"/>
          <w:sz w:val="22"/>
          <w:szCs w:val="22"/>
          <w:lang w:val="en-GB"/>
        </w:rPr>
        <w:t>The increased percentage o</w:t>
      </w:r>
      <w:r w:rsidR="008D63D8">
        <w:rPr>
          <w:rFonts w:ascii="Calibri" w:hAnsi="Calibri" w:cs="Calibri"/>
          <w:sz w:val="22"/>
          <w:szCs w:val="22"/>
          <w:lang w:val="en-GB"/>
        </w:rPr>
        <w:t>f staff over 56 leaving the college</w:t>
      </w:r>
      <w:r>
        <w:rPr>
          <w:rFonts w:ascii="Calibri" w:hAnsi="Calibri" w:cs="Calibri"/>
          <w:sz w:val="22"/>
          <w:szCs w:val="22"/>
          <w:lang w:val="en-GB"/>
        </w:rPr>
        <w:t xml:space="preserve"> employment is to be expected due to retirement. The </w:t>
      </w:r>
      <w:r w:rsidR="00ED15BD">
        <w:rPr>
          <w:rFonts w:ascii="Calibri" w:hAnsi="Calibri" w:cs="Calibri"/>
          <w:sz w:val="22"/>
          <w:szCs w:val="22"/>
          <w:lang w:val="en-GB"/>
        </w:rPr>
        <w:t xml:space="preserve">number </w:t>
      </w:r>
      <w:r>
        <w:rPr>
          <w:rFonts w:ascii="Calibri" w:hAnsi="Calibri" w:cs="Calibri"/>
          <w:sz w:val="22"/>
          <w:szCs w:val="22"/>
          <w:lang w:val="en-GB"/>
        </w:rPr>
        <w:t xml:space="preserve">of employees </w:t>
      </w:r>
      <w:r w:rsidR="00ED15BD">
        <w:rPr>
          <w:rFonts w:ascii="Calibri" w:hAnsi="Calibri" w:cs="Calibri"/>
          <w:sz w:val="22"/>
          <w:szCs w:val="22"/>
          <w:lang w:val="en-GB"/>
        </w:rPr>
        <w:t xml:space="preserve">leaving from </w:t>
      </w:r>
      <w:r>
        <w:rPr>
          <w:rFonts w:ascii="Calibri" w:hAnsi="Calibri" w:cs="Calibri"/>
          <w:sz w:val="22"/>
          <w:szCs w:val="22"/>
          <w:lang w:val="en-GB"/>
        </w:rPr>
        <w:t xml:space="preserve">the 16-20 age group is </w:t>
      </w:r>
      <w:r w:rsidR="008D63D8">
        <w:rPr>
          <w:rFonts w:ascii="Calibri" w:hAnsi="Calibri" w:cs="Calibri"/>
          <w:sz w:val="22"/>
          <w:szCs w:val="22"/>
          <w:lang w:val="en-GB"/>
        </w:rPr>
        <w:t xml:space="preserve">significantly higher than the % employed.  However further analysis of this group of leavers identifies that out of the 9 leavers there are only 2 resignations and the other 7 have left as they are on fixed term contracts including student ambassadors. </w:t>
      </w:r>
    </w:p>
    <w:p w:rsidR="00026B54" w:rsidRDefault="00026B54" w:rsidP="00FE3B9B">
      <w:pPr>
        <w:spacing w:line="360" w:lineRule="auto"/>
        <w:rPr>
          <w:rFonts w:ascii="Calibri" w:hAnsi="Calibri" w:cs="Calibri"/>
          <w:b/>
          <w:color w:val="A52432"/>
          <w:sz w:val="30"/>
          <w:szCs w:val="30"/>
          <w:lang w:val="en-GB"/>
        </w:rPr>
      </w:pPr>
      <w:r>
        <w:rPr>
          <w:noProof/>
          <w:lang w:val="en-GB" w:eastAsia="en-GB"/>
        </w:rPr>
        <w:lastRenderedPageBreak/>
        <w:drawing>
          <wp:inline distT="0" distB="0" distL="0" distR="0" wp14:anchorId="103CF5EA" wp14:editId="0DB2DCCA">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6B54" w:rsidRPr="004B42E2" w:rsidRDefault="00026B54" w:rsidP="00FE3B9B">
      <w:pPr>
        <w:spacing w:line="360" w:lineRule="auto"/>
        <w:rPr>
          <w:rFonts w:ascii="Calibri" w:hAnsi="Calibri" w:cs="Calibri"/>
          <w:b/>
          <w:color w:val="A52432"/>
          <w:sz w:val="22"/>
          <w:szCs w:val="22"/>
          <w:lang w:val="en-GB"/>
        </w:rPr>
      </w:pPr>
    </w:p>
    <w:p w:rsidR="004B42E2" w:rsidRPr="004B42E2" w:rsidRDefault="004B42E2" w:rsidP="00FE3B9B">
      <w:pPr>
        <w:spacing w:line="360" w:lineRule="auto"/>
        <w:rPr>
          <w:rFonts w:ascii="Calibri" w:hAnsi="Calibri" w:cs="Calibri"/>
          <w:b/>
          <w:color w:val="A52432"/>
          <w:sz w:val="22"/>
          <w:szCs w:val="22"/>
          <w:lang w:val="en-GB"/>
        </w:rPr>
      </w:pPr>
      <w:r w:rsidRPr="004B42E2">
        <w:rPr>
          <w:rFonts w:ascii="Calibri" w:hAnsi="Calibri" w:cs="Calibri"/>
          <w:b/>
          <w:color w:val="A52432"/>
          <w:sz w:val="22"/>
          <w:szCs w:val="22"/>
          <w:lang w:val="en-GB"/>
        </w:rPr>
        <w:t>Gender</w:t>
      </w:r>
    </w:p>
    <w:p w:rsidR="004B42E2" w:rsidRDefault="004B42E2" w:rsidP="00FE3B9B">
      <w:pPr>
        <w:spacing w:line="360" w:lineRule="auto"/>
        <w:rPr>
          <w:rFonts w:ascii="Calibri" w:hAnsi="Calibri" w:cs="Calibri"/>
          <w:sz w:val="22"/>
          <w:szCs w:val="22"/>
          <w:lang w:val="en-GB"/>
        </w:rPr>
      </w:pPr>
      <w:r>
        <w:rPr>
          <w:rFonts w:ascii="Calibri" w:hAnsi="Calibri" w:cs="Calibri"/>
          <w:sz w:val="22"/>
          <w:szCs w:val="22"/>
          <w:lang w:val="en-GB"/>
        </w:rPr>
        <w:t>There is a small increase in the percentage of male employees leaving the College’s employment compared to the current profile. The decreased percentage of successful male candidates together with this will lead to a further increase in the gender gap of the College’s workforce.</w:t>
      </w:r>
    </w:p>
    <w:p w:rsidR="00036B2E" w:rsidRDefault="00036B2E" w:rsidP="00FE3B9B">
      <w:pPr>
        <w:spacing w:line="360" w:lineRule="auto"/>
        <w:rPr>
          <w:rFonts w:ascii="Calibri" w:hAnsi="Calibri" w:cs="Calibri"/>
          <w:sz w:val="22"/>
          <w:szCs w:val="22"/>
          <w:lang w:val="en-GB"/>
        </w:rPr>
      </w:pPr>
    </w:p>
    <w:p w:rsidR="00026B54" w:rsidRDefault="00026B54"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21CCEF80" wp14:editId="4E0CCB3B">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77A8" w:rsidRPr="00D272CE" w:rsidRDefault="004B42E2" w:rsidP="00FE3B9B">
      <w:pPr>
        <w:spacing w:line="360" w:lineRule="auto"/>
        <w:rPr>
          <w:rFonts w:ascii="Calibri" w:hAnsi="Calibri" w:cs="Calibri"/>
          <w:b/>
          <w:color w:val="A52432"/>
          <w:sz w:val="30"/>
          <w:szCs w:val="30"/>
          <w:lang w:val="en-GB"/>
        </w:rPr>
      </w:pPr>
      <w:r>
        <w:rPr>
          <w:rFonts w:ascii="Calibri" w:hAnsi="Calibri" w:cs="Calibri"/>
          <w:b/>
          <w:color w:val="A52432"/>
          <w:sz w:val="30"/>
          <w:szCs w:val="30"/>
          <w:lang w:val="en-GB"/>
        </w:rPr>
        <w:lastRenderedPageBreak/>
        <w:t>Average s</w:t>
      </w:r>
      <w:r w:rsidR="00D272CE" w:rsidRPr="00D272CE">
        <w:rPr>
          <w:rFonts w:ascii="Calibri" w:hAnsi="Calibri" w:cs="Calibri"/>
          <w:b/>
          <w:color w:val="A52432"/>
          <w:sz w:val="30"/>
          <w:szCs w:val="30"/>
          <w:lang w:val="en-GB"/>
        </w:rPr>
        <w:t>alary comparison</w:t>
      </w:r>
    </w:p>
    <w:p w:rsidR="004B42E2" w:rsidRDefault="004B42E2" w:rsidP="00FE3B9B">
      <w:pPr>
        <w:spacing w:line="360" w:lineRule="auto"/>
        <w:rPr>
          <w:rFonts w:ascii="Calibri" w:hAnsi="Calibri" w:cs="Calibri"/>
          <w:sz w:val="22"/>
          <w:szCs w:val="22"/>
          <w:lang w:val="en-GB"/>
        </w:rPr>
      </w:pPr>
      <w:r>
        <w:rPr>
          <w:rFonts w:ascii="Calibri" w:hAnsi="Calibri" w:cs="Calibri"/>
          <w:sz w:val="22"/>
          <w:szCs w:val="22"/>
          <w:lang w:val="en-GB"/>
        </w:rPr>
        <w:t xml:space="preserve">The figures within the section refer to salaries </w:t>
      </w:r>
      <w:r w:rsidR="005B65D1">
        <w:rPr>
          <w:rFonts w:ascii="Calibri" w:hAnsi="Calibri" w:cs="Calibri"/>
          <w:sz w:val="22"/>
          <w:szCs w:val="22"/>
          <w:lang w:val="en-GB"/>
        </w:rPr>
        <w:t>as at end of July 2011.</w:t>
      </w:r>
      <w:r>
        <w:rPr>
          <w:rFonts w:ascii="Calibri" w:hAnsi="Calibri" w:cs="Calibri"/>
          <w:sz w:val="22"/>
          <w:szCs w:val="22"/>
          <w:lang w:val="en-GB"/>
        </w:rPr>
        <w:t xml:space="preserve"> </w:t>
      </w:r>
    </w:p>
    <w:p w:rsidR="004B42E2" w:rsidRDefault="004B42E2" w:rsidP="00FE3B9B">
      <w:pPr>
        <w:spacing w:line="360" w:lineRule="auto"/>
        <w:rPr>
          <w:rFonts w:ascii="Calibri" w:hAnsi="Calibri" w:cs="Calibri"/>
          <w:sz w:val="22"/>
          <w:szCs w:val="22"/>
          <w:lang w:val="en-GB"/>
        </w:rPr>
      </w:pPr>
    </w:p>
    <w:p w:rsidR="005B65D1" w:rsidRDefault="004B42E2" w:rsidP="00FE3B9B">
      <w:pPr>
        <w:spacing w:line="360" w:lineRule="auto"/>
        <w:rPr>
          <w:rFonts w:ascii="Calibri" w:hAnsi="Calibri" w:cs="Calibri"/>
          <w:sz w:val="22"/>
          <w:szCs w:val="22"/>
          <w:lang w:val="en-GB"/>
        </w:rPr>
      </w:pPr>
      <w:r>
        <w:rPr>
          <w:rFonts w:ascii="Calibri" w:hAnsi="Calibri" w:cs="Calibri"/>
          <w:sz w:val="22"/>
          <w:szCs w:val="22"/>
          <w:lang w:val="en-GB"/>
        </w:rPr>
        <w:t xml:space="preserve">To </w:t>
      </w:r>
      <w:r w:rsidR="004F1A71">
        <w:rPr>
          <w:rFonts w:ascii="Calibri" w:hAnsi="Calibri" w:cs="Calibri"/>
          <w:sz w:val="22"/>
          <w:szCs w:val="22"/>
          <w:lang w:val="en-GB"/>
        </w:rPr>
        <w:t xml:space="preserve">ensure a fair comparison within each section the </w:t>
      </w:r>
      <w:r>
        <w:rPr>
          <w:rFonts w:ascii="Calibri" w:hAnsi="Calibri" w:cs="Calibri"/>
          <w:sz w:val="22"/>
          <w:szCs w:val="22"/>
          <w:lang w:val="en-GB"/>
        </w:rPr>
        <w:t xml:space="preserve">average salary </w:t>
      </w:r>
      <w:r w:rsidR="004F1A71">
        <w:rPr>
          <w:rFonts w:ascii="Calibri" w:hAnsi="Calibri" w:cs="Calibri"/>
          <w:sz w:val="22"/>
          <w:szCs w:val="22"/>
          <w:lang w:val="en-GB"/>
        </w:rPr>
        <w:t>used is the full time equivalent salary.</w:t>
      </w:r>
    </w:p>
    <w:p w:rsidR="004F1A71" w:rsidRDefault="004F1A71" w:rsidP="00FE3B9B">
      <w:pPr>
        <w:spacing w:line="360" w:lineRule="auto"/>
        <w:rPr>
          <w:rFonts w:ascii="Calibri" w:hAnsi="Calibri" w:cs="Calibri"/>
          <w:sz w:val="22"/>
          <w:szCs w:val="22"/>
          <w:lang w:val="en-GB"/>
        </w:rPr>
      </w:pPr>
    </w:p>
    <w:p w:rsidR="004F1A71" w:rsidRDefault="004F1A71"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Disability</w:t>
      </w:r>
    </w:p>
    <w:p w:rsidR="007459C0" w:rsidRDefault="007459C0" w:rsidP="00FE3B9B">
      <w:pPr>
        <w:spacing w:line="360" w:lineRule="auto"/>
        <w:rPr>
          <w:rFonts w:ascii="Calibri" w:hAnsi="Calibri" w:cs="Calibri"/>
          <w:sz w:val="22"/>
          <w:szCs w:val="22"/>
          <w:lang w:val="en-GB"/>
        </w:rPr>
      </w:pPr>
      <w:r>
        <w:rPr>
          <w:rFonts w:ascii="Calibri" w:hAnsi="Calibri" w:cs="Calibri"/>
          <w:sz w:val="22"/>
          <w:szCs w:val="22"/>
          <w:lang w:val="en-GB"/>
        </w:rPr>
        <w:t>T</w:t>
      </w:r>
      <w:r w:rsidR="004F1A71">
        <w:rPr>
          <w:rFonts w:ascii="Calibri" w:hAnsi="Calibri" w:cs="Calibri"/>
          <w:sz w:val="22"/>
          <w:szCs w:val="22"/>
          <w:lang w:val="en-GB"/>
        </w:rPr>
        <w:t>he table below shows that the average salary of employees declaring a disability is almost £1,800 lower than those who haven’t</w:t>
      </w:r>
      <w:r w:rsidR="00036B2E">
        <w:rPr>
          <w:rFonts w:ascii="Calibri" w:hAnsi="Calibri" w:cs="Calibri"/>
          <w:sz w:val="22"/>
          <w:szCs w:val="22"/>
          <w:lang w:val="en-GB"/>
        </w:rPr>
        <w:t>.  The difference being 7%.</w:t>
      </w:r>
    </w:p>
    <w:p w:rsidR="00036B2E" w:rsidRDefault="00036B2E" w:rsidP="00FE3B9B">
      <w:pPr>
        <w:spacing w:line="360" w:lineRule="auto"/>
        <w:rPr>
          <w:rFonts w:ascii="Calibri" w:hAnsi="Calibri" w:cs="Calibri"/>
          <w:color w:val="FF0000"/>
          <w:sz w:val="22"/>
          <w:szCs w:val="22"/>
          <w:lang w:val="en-GB"/>
        </w:rPr>
      </w:pPr>
    </w:p>
    <w:p w:rsidR="007459C0" w:rsidRPr="007459C0" w:rsidRDefault="007459C0" w:rsidP="00FE3B9B">
      <w:pPr>
        <w:spacing w:line="360" w:lineRule="auto"/>
        <w:rPr>
          <w:rFonts w:ascii="Calibri" w:hAnsi="Calibri" w:cs="Calibri"/>
          <w:sz w:val="22"/>
          <w:szCs w:val="22"/>
          <w:lang w:val="en-GB"/>
        </w:rPr>
      </w:pPr>
      <w:r>
        <w:rPr>
          <w:rFonts w:ascii="Calibri" w:hAnsi="Calibri" w:cs="Calibri"/>
          <w:sz w:val="22"/>
          <w:szCs w:val="22"/>
          <w:lang w:val="en-GB"/>
        </w:rPr>
        <w:t>The college now operates the nationally agreed job evaluation scheme that provides a framework for fair pay.</w:t>
      </w:r>
    </w:p>
    <w:p w:rsidR="007459C0" w:rsidRDefault="007459C0" w:rsidP="00FE3B9B">
      <w:pPr>
        <w:spacing w:line="360" w:lineRule="auto"/>
        <w:rPr>
          <w:rFonts w:ascii="Calibri" w:hAnsi="Calibri" w:cs="Calibri"/>
          <w:color w:val="FF0000"/>
          <w:sz w:val="22"/>
          <w:szCs w:val="22"/>
          <w:lang w:val="en-GB"/>
        </w:rPr>
      </w:pPr>
    </w:p>
    <w:p w:rsidR="005B65D1" w:rsidRDefault="007459C0" w:rsidP="00FE3B9B">
      <w:pPr>
        <w:spacing w:line="360" w:lineRule="auto"/>
        <w:rPr>
          <w:rFonts w:ascii="Calibri" w:hAnsi="Calibri" w:cs="Calibri"/>
          <w:b/>
          <w:color w:val="A52432"/>
          <w:sz w:val="30"/>
          <w:szCs w:val="30"/>
          <w:lang w:val="en-GB"/>
        </w:rPr>
      </w:pPr>
      <w:r>
        <w:rPr>
          <w:noProof/>
          <w:lang w:val="en-GB" w:eastAsia="en-GB"/>
        </w:rPr>
        <w:t xml:space="preserve"> </w:t>
      </w:r>
      <w:r w:rsidR="005B65D1">
        <w:rPr>
          <w:noProof/>
          <w:lang w:val="en-GB" w:eastAsia="en-GB"/>
        </w:rPr>
        <w:drawing>
          <wp:inline distT="0" distB="0" distL="0" distR="0" wp14:anchorId="5BDD6615" wp14:editId="57A210B0">
            <wp:extent cx="4572000" cy="3370997"/>
            <wp:effectExtent l="0" t="0" r="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1A71" w:rsidRPr="004F1A71" w:rsidRDefault="004F1A71" w:rsidP="00FE3B9B">
      <w:pPr>
        <w:spacing w:line="360" w:lineRule="auto"/>
        <w:rPr>
          <w:rFonts w:ascii="Calibri" w:hAnsi="Calibri" w:cs="Calibri"/>
          <w:color w:val="A52432"/>
          <w:sz w:val="22"/>
          <w:szCs w:val="22"/>
          <w:lang w:val="en-GB"/>
        </w:rPr>
      </w:pPr>
    </w:p>
    <w:p w:rsidR="000F0683" w:rsidRDefault="000F0683">
      <w:pPr>
        <w:rPr>
          <w:rFonts w:ascii="Calibri" w:hAnsi="Calibri" w:cs="Calibri"/>
          <w:b/>
          <w:color w:val="A52432"/>
          <w:sz w:val="22"/>
          <w:szCs w:val="22"/>
          <w:lang w:val="en-GB"/>
        </w:rPr>
      </w:pPr>
      <w:r>
        <w:rPr>
          <w:rFonts w:ascii="Calibri" w:hAnsi="Calibri" w:cs="Calibri"/>
          <w:b/>
          <w:color w:val="A52432"/>
          <w:sz w:val="22"/>
          <w:szCs w:val="22"/>
          <w:lang w:val="en-GB"/>
        </w:rPr>
        <w:br w:type="page"/>
      </w:r>
    </w:p>
    <w:p w:rsidR="005B65D1" w:rsidRDefault="004F1A71"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lastRenderedPageBreak/>
        <w:t>Ethnicity</w:t>
      </w:r>
    </w:p>
    <w:p w:rsidR="000F0683" w:rsidRDefault="004F1A71" w:rsidP="00FE3B9B">
      <w:pPr>
        <w:spacing w:line="360" w:lineRule="auto"/>
        <w:rPr>
          <w:rFonts w:ascii="Calibri" w:hAnsi="Calibri" w:cs="Calibri"/>
          <w:sz w:val="22"/>
          <w:szCs w:val="22"/>
          <w:lang w:val="en-GB"/>
        </w:rPr>
      </w:pPr>
      <w:r>
        <w:rPr>
          <w:rFonts w:ascii="Calibri" w:hAnsi="Calibri" w:cs="Calibri"/>
          <w:sz w:val="22"/>
          <w:szCs w:val="22"/>
          <w:lang w:val="en-GB"/>
        </w:rPr>
        <w:t xml:space="preserve">The </w:t>
      </w:r>
      <w:r w:rsidR="007459C0">
        <w:rPr>
          <w:rFonts w:ascii="Calibri" w:hAnsi="Calibri" w:cs="Calibri"/>
          <w:sz w:val="22"/>
          <w:szCs w:val="22"/>
          <w:lang w:val="en-GB"/>
        </w:rPr>
        <w:t xml:space="preserve">average salary for staff who are not white </w:t>
      </w:r>
      <w:r w:rsidR="000F0683">
        <w:rPr>
          <w:rFonts w:ascii="Calibri" w:hAnsi="Calibri" w:cs="Calibri"/>
          <w:sz w:val="22"/>
          <w:szCs w:val="22"/>
          <w:lang w:val="en-GB"/>
        </w:rPr>
        <w:t>B</w:t>
      </w:r>
      <w:r w:rsidR="007459C0">
        <w:rPr>
          <w:rFonts w:ascii="Calibri" w:hAnsi="Calibri" w:cs="Calibri"/>
          <w:sz w:val="22"/>
          <w:szCs w:val="22"/>
          <w:lang w:val="en-GB"/>
        </w:rPr>
        <w:t xml:space="preserve">ritish is £4,173 higher than staff who are white </w:t>
      </w:r>
      <w:r w:rsidR="000F0683">
        <w:rPr>
          <w:rFonts w:ascii="Calibri" w:hAnsi="Calibri" w:cs="Calibri"/>
          <w:sz w:val="22"/>
          <w:szCs w:val="22"/>
          <w:lang w:val="en-GB"/>
        </w:rPr>
        <w:t>B</w:t>
      </w:r>
      <w:r w:rsidR="007459C0">
        <w:rPr>
          <w:rFonts w:ascii="Calibri" w:hAnsi="Calibri" w:cs="Calibri"/>
          <w:sz w:val="22"/>
          <w:szCs w:val="22"/>
          <w:lang w:val="en-GB"/>
        </w:rPr>
        <w:t xml:space="preserve">ritish. </w:t>
      </w:r>
    </w:p>
    <w:p w:rsidR="000F0683" w:rsidRDefault="000F0683" w:rsidP="00FE3B9B">
      <w:pPr>
        <w:spacing w:line="360" w:lineRule="auto"/>
        <w:rPr>
          <w:rFonts w:ascii="Calibri" w:hAnsi="Calibri" w:cs="Calibri"/>
          <w:sz w:val="22"/>
          <w:szCs w:val="22"/>
          <w:lang w:val="en-GB"/>
        </w:rPr>
      </w:pPr>
    </w:p>
    <w:p w:rsidR="005B65D1" w:rsidRDefault="005B65D1"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7F6720B3" wp14:editId="325E8164">
            <wp:extent cx="4638675"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65D1" w:rsidRDefault="004F1A71"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Age</w:t>
      </w:r>
    </w:p>
    <w:p w:rsidR="004F1A71" w:rsidRDefault="004F1A71" w:rsidP="00FE3B9B">
      <w:pPr>
        <w:spacing w:line="360" w:lineRule="auto"/>
        <w:rPr>
          <w:rFonts w:ascii="Calibri" w:hAnsi="Calibri" w:cs="Calibri"/>
          <w:sz w:val="22"/>
          <w:szCs w:val="22"/>
          <w:lang w:val="en-GB"/>
        </w:rPr>
      </w:pPr>
      <w:r>
        <w:rPr>
          <w:rFonts w:ascii="Calibri" w:hAnsi="Calibri" w:cs="Calibri"/>
          <w:sz w:val="22"/>
          <w:szCs w:val="22"/>
          <w:lang w:val="en-GB"/>
        </w:rPr>
        <w:t>The increased average salary for each age group up to those above retirement age is to be expected as employees experience levels grow.</w:t>
      </w:r>
    </w:p>
    <w:p w:rsidR="004F1A71" w:rsidRPr="004F1A71" w:rsidRDefault="004F1A71" w:rsidP="00FE3B9B">
      <w:pPr>
        <w:spacing w:line="360" w:lineRule="auto"/>
        <w:rPr>
          <w:rFonts w:ascii="Calibri" w:hAnsi="Calibri" w:cs="Calibri"/>
          <w:sz w:val="22"/>
          <w:szCs w:val="22"/>
          <w:lang w:val="en-GB"/>
        </w:rPr>
      </w:pPr>
    </w:p>
    <w:p w:rsidR="005B65D1" w:rsidRDefault="005B65D1"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6E96B7A9" wp14:editId="2710C289">
            <wp:extent cx="466725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59C0" w:rsidRDefault="007459C0" w:rsidP="00FE3B9B">
      <w:pPr>
        <w:spacing w:line="360" w:lineRule="auto"/>
        <w:rPr>
          <w:rFonts w:ascii="Calibri" w:hAnsi="Calibri" w:cs="Calibri"/>
          <w:b/>
          <w:color w:val="A52432"/>
          <w:sz w:val="22"/>
          <w:szCs w:val="22"/>
          <w:lang w:val="en-GB"/>
        </w:rPr>
      </w:pPr>
    </w:p>
    <w:p w:rsidR="007459C0" w:rsidRDefault="007459C0" w:rsidP="00FE3B9B">
      <w:pPr>
        <w:spacing w:line="360" w:lineRule="auto"/>
        <w:rPr>
          <w:rFonts w:ascii="Calibri" w:hAnsi="Calibri" w:cs="Calibri"/>
          <w:b/>
          <w:color w:val="A52432"/>
          <w:sz w:val="22"/>
          <w:szCs w:val="22"/>
          <w:lang w:val="en-GB"/>
        </w:rPr>
      </w:pPr>
    </w:p>
    <w:p w:rsidR="005B65D1" w:rsidRDefault="004F1A71"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Gender</w:t>
      </w:r>
    </w:p>
    <w:p w:rsidR="004F1A71" w:rsidRDefault="004F1A71" w:rsidP="00FE3B9B">
      <w:pPr>
        <w:spacing w:line="360" w:lineRule="auto"/>
        <w:rPr>
          <w:rFonts w:ascii="Calibri" w:hAnsi="Calibri" w:cs="Calibri"/>
          <w:sz w:val="22"/>
          <w:szCs w:val="22"/>
          <w:lang w:val="en-GB"/>
        </w:rPr>
      </w:pPr>
      <w:r>
        <w:rPr>
          <w:rFonts w:ascii="Calibri" w:hAnsi="Calibri" w:cs="Calibri"/>
          <w:sz w:val="22"/>
          <w:szCs w:val="22"/>
          <w:lang w:val="en-GB"/>
        </w:rPr>
        <w:t>The difference between these two groups equates to £2,771 and is a reduction to the difference reported in 2009/10 of £2858.</w:t>
      </w:r>
    </w:p>
    <w:p w:rsidR="000F0683" w:rsidRPr="004F1A71" w:rsidRDefault="000F0683" w:rsidP="00FE3B9B">
      <w:pPr>
        <w:spacing w:line="360" w:lineRule="auto"/>
        <w:rPr>
          <w:rFonts w:ascii="Calibri" w:hAnsi="Calibri" w:cs="Calibri"/>
          <w:sz w:val="22"/>
          <w:szCs w:val="22"/>
          <w:lang w:val="en-GB"/>
        </w:rPr>
      </w:pPr>
    </w:p>
    <w:p w:rsidR="005B65D1" w:rsidRDefault="005B65D1" w:rsidP="00FE3B9B">
      <w:pPr>
        <w:spacing w:line="360" w:lineRule="auto"/>
        <w:rPr>
          <w:rFonts w:ascii="Calibri" w:hAnsi="Calibri" w:cs="Calibri"/>
          <w:b/>
          <w:color w:val="A52432"/>
          <w:sz w:val="30"/>
          <w:szCs w:val="30"/>
          <w:lang w:val="en-GB"/>
        </w:rPr>
      </w:pPr>
      <w:r>
        <w:rPr>
          <w:noProof/>
          <w:lang w:val="en-GB" w:eastAsia="en-GB"/>
        </w:rPr>
        <w:drawing>
          <wp:inline distT="0" distB="0" distL="0" distR="0" wp14:anchorId="4903CA13" wp14:editId="316C1F9B">
            <wp:extent cx="4638675"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72CE" w:rsidRDefault="004F1A71" w:rsidP="00FE3B9B">
      <w:pPr>
        <w:spacing w:line="360" w:lineRule="auto"/>
        <w:rPr>
          <w:rFonts w:ascii="Calibri" w:hAnsi="Calibri" w:cs="Calibri"/>
          <w:sz w:val="22"/>
          <w:szCs w:val="22"/>
          <w:lang w:val="en-GB"/>
        </w:rPr>
      </w:pPr>
      <w:r w:rsidRPr="004F1A71">
        <w:rPr>
          <w:rFonts w:ascii="Calibri" w:hAnsi="Calibri" w:cs="Calibri"/>
          <w:sz w:val="22"/>
          <w:szCs w:val="22"/>
          <w:lang w:val="en-GB"/>
        </w:rPr>
        <w:t xml:space="preserve">When </w:t>
      </w:r>
      <w:r w:rsidR="008C36C8" w:rsidRPr="004F1A71">
        <w:rPr>
          <w:rFonts w:ascii="Calibri" w:hAnsi="Calibri" w:cs="Calibri"/>
          <w:sz w:val="22"/>
          <w:szCs w:val="22"/>
          <w:lang w:val="en-GB"/>
        </w:rPr>
        <w:t>breaking</w:t>
      </w:r>
      <w:r w:rsidRPr="004F1A71">
        <w:rPr>
          <w:rFonts w:ascii="Calibri" w:hAnsi="Calibri" w:cs="Calibri"/>
          <w:sz w:val="22"/>
          <w:szCs w:val="22"/>
          <w:lang w:val="en-GB"/>
        </w:rPr>
        <w:t xml:space="preserve"> </w:t>
      </w:r>
      <w:r>
        <w:rPr>
          <w:rFonts w:ascii="Calibri" w:hAnsi="Calibri" w:cs="Calibri"/>
          <w:sz w:val="22"/>
          <w:szCs w:val="22"/>
          <w:lang w:val="en-GB"/>
        </w:rPr>
        <w:t>this data down further into different types of jobs the difference reduces</w:t>
      </w:r>
      <w:r w:rsidR="008C36C8">
        <w:rPr>
          <w:rFonts w:ascii="Calibri" w:hAnsi="Calibri" w:cs="Calibri"/>
          <w:sz w:val="22"/>
          <w:szCs w:val="22"/>
          <w:lang w:val="en-GB"/>
        </w:rPr>
        <w:t xml:space="preserve"> for all groups with those on delivery management contracts having the largest difference. All of these figures are below the national gender pay gap as reported by the Office for National Statistics (ONS) in 2010 of £2,558.92.</w:t>
      </w:r>
    </w:p>
    <w:p w:rsidR="004F1A71" w:rsidRPr="004F1A71" w:rsidRDefault="004F1A71" w:rsidP="00FE3B9B">
      <w:pPr>
        <w:spacing w:line="360" w:lineRule="auto"/>
        <w:rPr>
          <w:rFonts w:ascii="Calibri" w:hAnsi="Calibri" w:cs="Calibri"/>
          <w:sz w:val="22"/>
          <w:szCs w:val="22"/>
          <w:lang w:val="en-GB"/>
        </w:rPr>
      </w:pPr>
    </w:p>
    <w:tbl>
      <w:tblPr>
        <w:tblStyle w:val="LightShading"/>
        <w:tblW w:w="6912" w:type="dxa"/>
        <w:tblLook w:val="04A0" w:firstRow="1" w:lastRow="0" w:firstColumn="1" w:lastColumn="0" w:noHBand="0" w:noVBand="1"/>
      </w:tblPr>
      <w:tblGrid>
        <w:gridCol w:w="1951"/>
        <w:gridCol w:w="1219"/>
        <w:gridCol w:w="1219"/>
        <w:gridCol w:w="1219"/>
        <w:gridCol w:w="1304"/>
      </w:tblGrid>
      <w:tr w:rsidR="005B65D1" w:rsidRPr="005B65D1" w:rsidTr="005B65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5B65D1" w:rsidRPr="005B65D1" w:rsidRDefault="005B65D1" w:rsidP="00FE3B9B">
            <w:pPr>
              <w:spacing w:line="360" w:lineRule="auto"/>
              <w:jc w:val="center"/>
              <w:rPr>
                <w:rFonts w:ascii="Calibri" w:eastAsia="Times New Roman" w:hAnsi="Calibri" w:cs="Calibri"/>
                <w:color w:val="000000"/>
                <w:sz w:val="22"/>
                <w:szCs w:val="22"/>
                <w:lang w:val="en-GB" w:eastAsia="en-GB"/>
              </w:rPr>
            </w:pPr>
          </w:p>
        </w:tc>
        <w:tc>
          <w:tcPr>
            <w:tcW w:w="1219" w:type="dxa"/>
            <w:noWrap/>
            <w:hideMark/>
          </w:tcPr>
          <w:p w:rsidR="005B65D1" w:rsidRPr="005B65D1" w:rsidRDefault="005B65D1" w:rsidP="00FE3B9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Female</w:t>
            </w:r>
          </w:p>
        </w:tc>
        <w:tc>
          <w:tcPr>
            <w:tcW w:w="1219" w:type="dxa"/>
            <w:noWrap/>
            <w:hideMark/>
          </w:tcPr>
          <w:p w:rsidR="005B65D1" w:rsidRPr="005B65D1" w:rsidRDefault="005B65D1" w:rsidP="00FE3B9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Male</w:t>
            </w:r>
          </w:p>
        </w:tc>
        <w:tc>
          <w:tcPr>
            <w:tcW w:w="1219" w:type="dxa"/>
            <w:noWrap/>
            <w:hideMark/>
          </w:tcPr>
          <w:p w:rsidR="005B65D1" w:rsidRPr="005B65D1" w:rsidRDefault="005B65D1" w:rsidP="00FE3B9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Overall</w:t>
            </w:r>
          </w:p>
        </w:tc>
        <w:tc>
          <w:tcPr>
            <w:tcW w:w="1304" w:type="dxa"/>
            <w:noWrap/>
            <w:hideMark/>
          </w:tcPr>
          <w:p w:rsidR="005B65D1" w:rsidRPr="005B65D1" w:rsidRDefault="005B65D1" w:rsidP="00FE3B9B">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Difference</w:t>
            </w:r>
          </w:p>
        </w:tc>
      </w:tr>
      <w:tr w:rsidR="005B65D1" w:rsidRPr="005B65D1" w:rsidTr="005B65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5B65D1" w:rsidRPr="005B65D1" w:rsidRDefault="005B65D1" w:rsidP="00FE3B9B">
            <w:pPr>
              <w:spacing w:line="360" w:lineRule="auto"/>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Business Support</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£19,328.10</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£20,427.83</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£19,626.18</w:t>
            </w:r>
          </w:p>
        </w:tc>
        <w:tc>
          <w:tcPr>
            <w:tcW w:w="1304"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£1,099.72</w:t>
            </w:r>
          </w:p>
        </w:tc>
      </w:tr>
      <w:tr w:rsidR="005B65D1" w:rsidRPr="005B65D1" w:rsidTr="005B65D1">
        <w:trPr>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5B65D1" w:rsidRPr="005B65D1" w:rsidRDefault="005B65D1" w:rsidP="00FE3B9B">
            <w:pPr>
              <w:spacing w:line="360" w:lineRule="auto"/>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Support managers</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£42,961.88</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£42,993.18</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£42,980.00</w:t>
            </w:r>
          </w:p>
        </w:tc>
        <w:tc>
          <w:tcPr>
            <w:tcW w:w="1304"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£31.31</w:t>
            </w:r>
          </w:p>
        </w:tc>
      </w:tr>
      <w:tr w:rsidR="005B65D1" w:rsidRPr="005B65D1" w:rsidTr="005B65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5B65D1" w:rsidRPr="005B65D1" w:rsidRDefault="005B65D1" w:rsidP="00FE3B9B">
            <w:pPr>
              <w:spacing w:line="360" w:lineRule="auto"/>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Delivery</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£28,371.89</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£28,482.93</w:t>
            </w:r>
          </w:p>
        </w:tc>
        <w:tc>
          <w:tcPr>
            <w:tcW w:w="1219"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£28,422.83</w:t>
            </w:r>
          </w:p>
        </w:tc>
        <w:tc>
          <w:tcPr>
            <w:tcW w:w="1304" w:type="dxa"/>
            <w:noWrap/>
            <w:hideMark/>
          </w:tcPr>
          <w:p w:rsidR="005B65D1" w:rsidRPr="005B65D1" w:rsidRDefault="005B65D1" w:rsidP="00FE3B9B">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£111.03</w:t>
            </w:r>
          </w:p>
        </w:tc>
      </w:tr>
      <w:tr w:rsidR="005B65D1" w:rsidRPr="005B65D1" w:rsidTr="005B65D1">
        <w:trPr>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5B65D1" w:rsidRPr="005B65D1" w:rsidRDefault="005B65D1" w:rsidP="00FE3B9B">
            <w:pPr>
              <w:spacing w:line="360" w:lineRule="auto"/>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Delivery managers</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£41,579.80</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£39,495.35</w:t>
            </w:r>
          </w:p>
        </w:tc>
        <w:tc>
          <w:tcPr>
            <w:tcW w:w="1219"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£40,736.10</w:t>
            </w:r>
          </w:p>
        </w:tc>
        <w:tc>
          <w:tcPr>
            <w:tcW w:w="1304" w:type="dxa"/>
            <w:noWrap/>
            <w:hideMark/>
          </w:tcPr>
          <w:p w:rsidR="005B65D1" w:rsidRPr="005B65D1" w:rsidRDefault="005B65D1" w:rsidP="00FE3B9B">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5B65D1">
              <w:rPr>
                <w:rFonts w:ascii="Calibri" w:eastAsia="Times New Roman" w:hAnsi="Calibri" w:cs="Calibri"/>
                <w:color w:val="000000"/>
                <w:sz w:val="22"/>
                <w:szCs w:val="22"/>
                <w:lang w:val="en-GB" w:eastAsia="en-GB"/>
              </w:rPr>
              <w:t>-£2,084.45</w:t>
            </w:r>
          </w:p>
        </w:tc>
      </w:tr>
    </w:tbl>
    <w:p w:rsidR="005B65D1" w:rsidRDefault="005B65D1" w:rsidP="00FE3B9B">
      <w:pPr>
        <w:spacing w:line="360" w:lineRule="auto"/>
        <w:rPr>
          <w:rFonts w:ascii="Calibri" w:hAnsi="Calibri" w:cs="Calibri"/>
          <w:b/>
          <w:color w:val="A52432"/>
          <w:sz w:val="30"/>
          <w:szCs w:val="30"/>
          <w:lang w:val="en-GB"/>
        </w:rPr>
      </w:pPr>
    </w:p>
    <w:p w:rsidR="005B65D1" w:rsidRDefault="005B65D1" w:rsidP="00FE3B9B">
      <w:pPr>
        <w:spacing w:line="360" w:lineRule="auto"/>
        <w:rPr>
          <w:rFonts w:ascii="Calibri" w:hAnsi="Calibri" w:cs="Calibri"/>
          <w:b/>
          <w:color w:val="A52432"/>
          <w:sz w:val="30"/>
          <w:szCs w:val="30"/>
          <w:lang w:val="en-GB"/>
        </w:rPr>
      </w:pPr>
      <w:r>
        <w:rPr>
          <w:rFonts w:ascii="Calibri" w:hAnsi="Calibri" w:cs="Calibri"/>
          <w:b/>
          <w:color w:val="A52432"/>
          <w:sz w:val="30"/>
          <w:szCs w:val="30"/>
          <w:lang w:val="en-GB"/>
        </w:rPr>
        <w:br w:type="page"/>
      </w:r>
    </w:p>
    <w:p w:rsidR="00D272CE" w:rsidRPr="00D272CE" w:rsidRDefault="00D272CE" w:rsidP="00FE3B9B">
      <w:pPr>
        <w:spacing w:line="360" w:lineRule="auto"/>
        <w:rPr>
          <w:rFonts w:ascii="Calibri" w:hAnsi="Calibri" w:cs="Calibri"/>
          <w:b/>
          <w:color w:val="A52432"/>
          <w:sz w:val="30"/>
          <w:szCs w:val="30"/>
          <w:lang w:val="en-GB"/>
        </w:rPr>
      </w:pPr>
      <w:r w:rsidRPr="00D272CE">
        <w:rPr>
          <w:rFonts w:ascii="Calibri" w:hAnsi="Calibri" w:cs="Calibri"/>
          <w:b/>
          <w:color w:val="A52432"/>
          <w:sz w:val="30"/>
          <w:szCs w:val="30"/>
          <w:lang w:val="en-GB"/>
        </w:rPr>
        <w:lastRenderedPageBreak/>
        <w:t>Length of service</w:t>
      </w:r>
    </w:p>
    <w:p w:rsidR="005B65D1" w:rsidRDefault="008C36C8" w:rsidP="00FE3B9B">
      <w:pPr>
        <w:spacing w:line="360" w:lineRule="auto"/>
        <w:rPr>
          <w:rFonts w:ascii="Calibri" w:hAnsi="Calibri" w:cs="Calibri"/>
          <w:sz w:val="22"/>
          <w:szCs w:val="22"/>
          <w:lang w:val="en-GB"/>
        </w:rPr>
      </w:pPr>
      <w:r>
        <w:rPr>
          <w:rFonts w:ascii="Calibri" w:hAnsi="Calibri" w:cs="Calibri"/>
          <w:sz w:val="22"/>
          <w:szCs w:val="22"/>
          <w:lang w:val="en-GB"/>
        </w:rPr>
        <w:t>The following information illustrates the average length of service (in years) of individuals employed at the en</w:t>
      </w:r>
      <w:r w:rsidR="005B65D1" w:rsidRPr="005B65D1">
        <w:rPr>
          <w:rFonts w:ascii="Calibri" w:hAnsi="Calibri" w:cs="Calibri"/>
          <w:sz w:val="22"/>
          <w:szCs w:val="22"/>
          <w:lang w:val="en-GB"/>
        </w:rPr>
        <w:t>d of July 2011</w:t>
      </w:r>
      <w:r w:rsidR="005B65D1">
        <w:rPr>
          <w:rFonts w:ascii="Calibri" w:hAnsi="Calibri" w:cs="Calibri"/>
          <w:sz w:val="22"/>
          <w:szCs w:val="22"/>
          <w:lang w:val="en-GB"/>
        </w:rPr>
        <w:t>.</w:t>
      </w:r>
      <w:r>
        <w:rPr>
          <w:rFonts w:ascii="Calibri" w:hAnsi="Calibri" w:cs="Calibri"/>
          <w:sz w:val="22"/>
          <w:szCs w:val="22"/>
          <w:lang w:val="en-GB"/>
        </w:rPr>
        <w:t xml:space="preserve"> </w:t>
      </w:r>
    </w:p>
    <w:p w:rsidR="008C36C8" w:rsidRDefault="008C36C8" w:rsidP="00FE3B9B">
      <w:pPr>
        <w:spacing w:line="360" w:lineRule="auto"/>
        <w:rPr>
          <w:rFonts w:ascii="Calibri" w:hAnsi="Calibri" w:cs="Calibri"/>
          <w:sz w:val="22"/>
          <w:szCs w:val="22"/>
          <w:lang w:val="en-GB"/>
        </w:rPr>
      </w:pPr>
    </w:p>
    <w:p w:rsidR="008C36C8" w:rsidRPr="008C36C8" w:rsidRDefault="008C36C8"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Disability</w:t>
      </w:r>
    </w:p>
    <w:p w:rsidR="005B65D1" w:rsidRDefault="008C36C8" w:rsidP="00FE3B9B">
      <w:pPr>
        <w:spacing w:line="360" w:lineRule="auto"/>
        <w:rPr>
          <w:rFonts w:ascii="Calibri" w:hAnsi="Calibri" w:cs="Calibri"/>
          <w:sz w:val="22"/>
          <w:szCs w:val="22"/>
          <w:lang w:val="en-GB"/>
        </w:rPr>
      </w:pPr>
      <w:r>
        <w:rPr>
          <w:rFonts w:ascii="Calibri" w:hAnsi="Calibri" w:cs="Calibri"/>
          <w:sz w:val="22"/>
          <w:szCs w:val="22"/>
          <w:lang w:val="en-GB"/>
        </w:rPr>
        <w:t>For the second year running employees who have declared a disability have on average the longest service levels at the College. This is a very positive indicator.</w:t>
      </w:r>
    </w:p>
    <w:p w:rsidR="008C36C8" w:rsidRDefault="008C36C8" w:rsidP="00FE3B9B">
      <w:pPr>
        <w:spacing w:line="360" w:lineRule="auto"/>
        <w:rPr>
          <w:rFonts w:ascii="Calibri" w:hAnsi="Calibri" w:cs="Calibri"/>
          <w:sz w:val="22"/>
          <w:szCs w:val="22"/>
          <w:lang w:val="en-GB"/>
        </w:rPr>
      </w:pPr>
    </w:p>
    <w:p w:rsidR="005B65D1" w:rsidRDefault="005B65D1" w:rsidP="00FE3B9B">
      <w:pPr>
        <w:spacing w:line="360" w:lineRule="auto"/>
        <w:rPr>
          <w:rFonts w:ascii="Calibri" w:hAnsi="Calibri" w:cs="Calibri"/>
          <w:sz w:val="22"/>
          <w:szCs w:val="22"/>
          <w:lang w:val="en-GB"/>
        </w:rPr>
      </w:pPr>
      <w:r>
        <w:rPr>
          <w:noProof/>
          <w:lang w:val="en-GB" w:eastAsia="en-GB"/>
        </w:rPr>
        <w:drawing>
          <wp:inline distT="0" distB="0" distL="0" distR="0" wp14:anchorId="1C055BF2" wp14:editId="14A51634">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36C8" w:rsidRDefault="008C36C8" w:rsidP="00FE3B9B">
      <w:pPr>
        <w:spacing w:line="360" w:lineRule="auto"/>
        <w:rPr>
          <w:rFonts w:ascii="Calibri" w:hAnsi="Calibri" w:cs="Calibri"/>
          <w:b/>
          <w:color w:val="A52432"/>
          <w:sz w:val="22"/>
          <w:szCs w:val="22"/>
          <w:lang w:val="en-GB"/>
        </w:rPr>
      </w:pPr>
    </w:p>
    <w:p w:rsidR="005B65D1" w:rsidRDefault="008C36C8"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Ethnicity</w:t>
      </w:r>
    </w:p>
    <w:p w:rsidR="008C36C8" w:rsidRPr="008C36C8" w:rsidRDefault="008C36C8" w:rsidP="00FE3B9B">
      <w:pPr>
        <w:spacing w:line="360" w:lineRule="auto"/>
        <w:rPr>
          <w:rFonts w:ascii="Calibri" w:hAnsi="Calibri" w:cs="Calibri"/>
          <w:sz w:val="22"/>
          <w:szCs w:val="22"/>
          <w:lang w:val="en-GB"/>
        </w:rPr>
      </w:pPr>
      <w:r w:rsidRPr="008C36C8">
        <w:rPr>
          <w:rFonts w:ascii="Calibri" w:hAnsi="Calibri" w:cs="Calibri"/>
          <w:sz w:val="22"/>
          <w:szCs w:val="22"/>
          <w:lang w:val="en-GB"/>
        </w:rPr>
        <w:t>The gap in average</w:t>
      </w:r>
      <w:r>
        <w:rPr>
          <w:rFonts w:ascii="Calibri" w:hAnsi="Calibri" w:cs="Calibri"/>
          <w:sz w:val="22"/>
          <w:szCs w:val="22"/>
          <w:lang w:val="en-GB"/>
        </w:rPr>
        <w:t xml:space="preserve"> service between employees from BME backgrounds and those who are White British has almost doubled whe</w:t>
      </w:r>
      <w:r w:rsidR="007459C0">
        <w:rPr>
          <w:rFonts w:ascii="Calibri" w:hAnsi="Calibri" w:cs="Calibri"/>
          <w:sz w:val="22"/>
          <w:szCs w:val="22"/>
          <w:lang w:val="en-GB"/>
        </w:rPr>
        <w:t xml:space="preserve">n compared to the previous year, increasing to </w:t>
      </w:r>
      <w:r w:rsidR="006E4F2A">
        <w:rPr>
          <w:rFonts w:ascii="Calibri" w:hAnsi="Calibri" w:cs="Calibri"/>
          <w:sz w:val="22"/>
          <w:szCs w:val="22"/>
          <w:lang w:val="en-GB"/>
        </w:rPr>
        <w:t xml:space="preserve">a gap of just over 1.5 years. </w:t>
      </w:r>
    </w:p>
    <w:p w:rsidR="005B65D1" w:rsidRDefault="005B65D1" w:rsidP="00FE3B9B">
      <w:pPr>
        <w:spacing w:line="360" w:lineRule="auto"/>
        <w:rPr>
          <w:rFonts w:ascii="Calibri" w:hAnsi="Calibri" w:cs="Calibri"/>
          <w:sz w:val="22"/>
          <w:szCs w:val="22"/>
          <w:lang w:val="en-GB"/>
        </w:rPr>
      </w:pPr>
      <w:r>
        <w:rPr>
          <w:noProof/>
          <w:lang w:val="en-GB" w:eastAsia="en-GB"/>
        </w:rPr>
        <w:lastRenderedPageBreak/>
        <w:drawing>
          <wp:inline distT="0" distB="0" distL="0" distR="0" wp14:anchorId="1C5180B7" wp14:editId="7DC3AC51">
            <wp:extent cx="5274310" cy="2646344"/>
            <wp:effectExtent l="0" t="0" r="2540" b="19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0B68" w:rsidRDefault="00D40B68" w:rsidP="00FE3B9B">
      <w:pPr>
        <w:spacing w:line="360" w:lineRule="auto"/>
        <w:rPr>
          <w:rFonts w:ascii="Calibri" w:hAnsi="Calibri" w:cs="Calibri"/>
          <w:sz w:val="22"/>
          <w:szCs w:val="22"/>
          <w:lang w:val="en-GB"/>
        </w:rPr>
      </w:pPr>
    </w:p>
    <w:p w:rsidR="008C36C8" w:rsidRDefault="008C36C8"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Age</w:t>
      </w:r>
    </w:p>
    <w:p w:rsidR="008C36C8" w:rsidRPr="008C36C8" w:rsidRDefault="008C36C8" w:rsidP="00FE3B9B">
      <w:pPr>
        <w:spacing w:line="360" w:lineRule="auto"/>
        <w:rPr>
          <w:rFonts w:ascii="Calibri" w:hAnsi="Calibri" w:cs="Calibri"/>
          <w:sz w:val="22"/>
          <w:szCs w:val="22"/>
          <w:lang w:val="en-GB"/>
        </w:rPr>
      </w:pPr>
      <w:r>
        <w:rPr>
          <w:rFonts w:ascii="Calibri" w:hAnsi="Calibri" w:cs="Calibri"/>
          <w:sz w:val="22"/>
          <w:szCs w:val="22"/>
          <w:lang w:val="en-GB"/>
        </w:rPr>
        <w:t>The average length of service increases across the age groups as expected.</w:t>
      </w:r>
    </w:p>
    <w:p w:rsidR="008C36C8" w:rsidRDefault="008C36C8" w:rsidP="00FE3B9B">
      <w:pPr>
        <w:spacing w:line="360" w:lineRule="auto"/>
        <w:rPr>
          <w:rFonts w:ascii="Calibri" w:hAnsi="Calibri" w:cs="Calibri"/>
          <w:sz w:val="22"/>
          <w:szCs w:val="22"/>
          <w:lang w:val="en-GB"/>
        </w:rPr>
      </w:pPr>
    </w:p>
    <w:p w:rsidR="00D40B68" w:rsidRDefault="00D40B68" w:rsidP="00FE3B9B">
      <w:pPr>
        <w:spacing w:line="360" w:lineRule="auto"/>
        <w:rPr>
          <w:rFonts w:ascii="Calibri" w:hAnsi="Calibri" w:cs="Calibri"/>
          <w:sz w:val="22"/>
          <w:szCs w:val="22"/>
          <w:lang w:val="en-GB"/>
        </w:rPr>
      </w:pPr>
      <w:r>
        <w:rPr>
          <w:noProof/>
          <w:lang w:val="en-GB" w:eastAsia="en-GB"/>
        </w:rPr>
        <w:drawing>
          <wp:inline distT="0" distB="0" distL="0" distR="0" wp14:anchorId="56B69656" wp14:editId="35B24546">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0B68" w:rsidRDefault="00D40B68" w:rsidP="00FE3B9B">
      <w:pPr>
        <w:spacing w:line="360" w:lineRule="auto"/>
        <w:rPr>
          <w:rFonts w:ascii="Calibri" w:hAnsi="Calibri" w:cs="Calibri"/>
          <w:sz w:val="22"/>
          <w:szCs w:val="22"/>
          <w:lang w:val="en-GB"/>
        </w:rPr>
      </w:pPr>
    </w:p>
    <w:p w:rsidR="00D40B68" w:rsidRDefault="008C36C8"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Gender</w:t>
      </w:r>
    </w:p>
    <w:p w:rsidR="008C36C8" w:rsidRPr="008C36C8" w:rsidRDefault="004E7CA6" w:rsidP="00FE3B9B">
      <w:pPr>
        <w:spacing w:line="360" w:lineRule="auto"/>
        <w:rPr>
          <w:rFonts w:ascii="Calibri" w:hAnsi="Calibri" w:cs="Calibri"/>
          <w:sz w:val="22"/>
          <w:szCs w:val="22"/>
          <w:lang w:val="en-GB"/>
        </w:rPr>
      </w:pPr>
      <w:r>
        <w:rPr>
          <w:rFonts w:ascii="Calibri" w:hAnsi="Calibri" w:cs="Calibri"/>
          <w:sz w:val="22"/>
          <w:szCs w:val="22"/>
          <w:lang w:val="en-GB"/>
        </w:rPr>
        <w:t>The average length of service between genders is minimal and has remained consistent to the previous year.</w:t>
      </w:r>
    </w:p>
    <w:p w:rsidR="00D272CE" w:rsidRPr="005B65D1" w:rsidRDefault="00D40B68" w:rsidP="00FE3B9B">
      <w:pPr>
        <w:spacing w:line="360" w:lineRule="auto"/>
        <w:rPr>
          <w:rFonts w:ascii="Calibri" w:hAnsi="Calibri" w:cs="Calibri"/>
          <w:sz w:val="22"/>
          <w:szCs w:val="22"/>
          <w:lang w:val="en-GB"/>
        </w:rPr>
      </w:pPr>
      <w:r>
        <w:rPr>
          <w:noProof/>
          <w:lang w:val="en-GB" w:eastAsia="en-GB"/>
        </w:rPr>
        <w:lastRenderedPageBreak/>
        <w:drawing>
          <wp:inline distT="0" distB="0" distL="0" distR="0" wp14:anchorId="131854B7" wp14:editId="2776B27E">
            <wp:extent cx="5274310" cy="2646344"/>
            <wp:effectExtent l="0" t="0" r="2540" b="19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272CE" w:rsidRPr="005B65D1">
        <w:rPr>
          <w:rFonts w:ascii="Calibri" w:hAnsi="Calibri" w:cs="Calibri"/>
          <w:sz w:val="22"/>
          <w:szCs w:val="22"/>
          <w:lang w:val="en-GB"/>
        </w:rPr>
        <w:br w:type="page"/>
      </w:r>
    </w:p>
    <w:p w:rsidR="00D272CE" w:rsidRPr="00D272CE" w:rsidRDefault="00D272CE" w:rsidP="00FE3B9B">
      <w:pPr>
        <w:spacing w:line="360" w:lineRule="auto"/>
        <w:rPr>
          <w:rFonts w:ascii="Calibri" w:hAnsi="Calibri" w:cs="Calibri"/>
          <w:b/>
          <w:color w:val="A52432"/>
          <w:sz w:val="30"/>
          <w:szCs w:val="30"/>
          <w:lang w:val="en-GB"/>
        </w:rPr>
      </w:pPr>
      <w:r w:rsidRPr="00D272CE">
        <w:rPr>
          <w:rFonts w:ascii="Calibri" w:hAnsi="Calibri" w:cs="Calibri"/>
          <w:b/>
          <w:color w:val="A52432"/>
          <w:sz w:val="30"/>
          <w:szCs w:val="30"/>
          <w:lang w:val="en-GB"/>
        </w:rPr>
        <w:lastRenderedPageBreak/>
        <w:t>Grievance</w:t>
      </w:r>
      <w:r w:rsidR="00E00EFC">
        <w:rPr>
          <w:rFonts w:ascii="Calibri" w:hAnsi="Calibri" w:cs="Calibri"/>
          <w:b/>
          <w:color w:val="A52432"/>
          <w:sz w:val="30"/>
          <w:szCs w:val="30"/>
          <w:lang w:val="en-GB"/>
        </w:rPr>
        <w:t>,</w:t>
      </w:r>
      <w:r w:rsidRPr="00D272CE">
        <w:rPr>
          <w:rFonts w:ascii="Calibri" w:hAnsi="Calibri" w:cs="Calibri"/>
          <w:b/>
          <w:color w:val="A52432"/>
          <w:sz w:val="30"/>
          <w:szCs w:val="30"/>
          <w:lang w:val="en-GB"/>
        </w:rPr>
        <w:t xml:space="preserve"> disciplinary</w:t>
      </w:r>
      <w:r w:rsidR="00E00EFC">
        <w:rPr>
          <w:rFonts w:ascii="Calibri" w:hAnsi="Calibri" w:cs="Calibri"/>
          <w:b/>
          <w:color w:val="A52432"/>
          <w:sz w:val="30"/>
          <w:szCs w:val="30"/>
          <w:lang w:val="en-GB"/>
        </w:rPr>
        <w:t xml:space="preserve"> and capability</w:t>
      </w:r>
    </w:p>
    <w:p w:rsidR="00E277A8" w:rsidRDefault="004E7CA6" w:rsidP="00FE3B9B">
      <w:pPr>
        <w:spacing w:line="360" w:lineRule="auto"/>
        <w:rPr>
          <w:rFonts w:ascii="Calibri" w:hAnsi="Calibri" w:cs="Calibri"/>
          <w:sz w:val="22"/>
          <w:szCs w:val="22"/>
          <w:lang w:val="en-GB"/>
        </w:rPr>
      </w:pPr>
      <w:r>
        <w:rPr>
          <w:rFonts w:ascii="Calibri" w:hAnsi="Calibri" w:cs="Calibri"/>
          <w:sz w:val="22"/>
          <w:szCs w:val="22"/>
          <w:lang w:val="en-GB"/>
        </w:rPr>
        <w:t>The following graphs illustrate the equality and diversity indicators of those members of staff who have raised a grievance or been involved in a disciplinary procedure in the academic year.</w:t>
      </w:r>
    </w:p>
    <w:p w:rsidR="004E7CA6" w:rsidRDefault="004E7CA6" w:rsidP="00FE3B9B">
      <w:pPr>
        <w:spacing w:line="360" w:lineRule="auto"/>
        <w:rPr>
          <w:rFonts w:ascii="Calibri" w:hAnsi="Calibri" w:cs="Calibri"/>
          <w:sz w:val="22"/>
          <w:szCs w:val="22"/>
          <w:lang w:val="en-GB"/>
        </w:rPr>
      </w:pPr>
    </w:p>
    <w:p w:rsidR="004E7CA6" w:rsidRDefault="004E7CA6" w:rsidP="00FE3B9B">
      <w:pPr>
        <w:spacing w:line="360" w:lineRule="auto"/>
        <w:rPr>
          <w:rFonts w:ascii="Calibri" w:hAnsi="Calibri" w:cs="Calibri"/>
          <w:sz w:val="22"/>
          <w:szCs w:val="22"/>
          <w:lang w:val="en-GB"/>
        </w:rPr>
      </w:pPr>
      <w:r>
        <w:rPr>
          <w:rFonts w:ascii="Calibri" w:hAnsi="Calibri" w:cs="Calibri"/>
          <w:sz w:val="22"/>
          <w:szCs w:val="22"/>
          <w:lang w:val="en-GB"/>
        </w:rPr>
        <w:t xml:space="preserve">During the year there have been 16 disciplinaries and </w:t>
      </w:r>
      <w:r w:rsidR="000F0683">
        <w:rPr>
          <w:rFonts w:ascii="Calibri" w:hAnsi="Calibri" w:cs="Calibri"/>
          <w:sz w:val="22"/>
          <w:szCs w:val="22"/>
          <w:lang w:val="en-GB"/>
        </w:rPr>
        <w:t>3</w:t>
      </w:r>
      <w:r>
        <w:rPr>
          <w:rFonts w:ascii="Calibri" w:hAnsi="Calibri" w:cs="Calibri"/>
          <w:sz w:val="22"/>
          <w:szCs w:val="22"/>
          <w:lang w:val="en-GB"/>
        </w:rPr>
        <w:t xml:space="preserve"> grievance</w:t>
      </w:r>
      <w:r w:rsidR="00E00EFC">
        <w:rPr>
          <w:rFonts w:ascii="Calibri" w:hAnsi="Calibri" w:cs="Calibri"/>
          <w:sz w:val="22"/>
          <w:szCs w:val="22"/>
          <w:lang w:val="en-GB"/>
        </w:rPr>
        <w:t xml:space="preserve"> and 2 capability cases</w:t>
      </w:r>
      <w:r>
        <w:rPr>
          <w:rFonts w:ascii="Calibri" w:hAnsi="Calibri" w:cs="Calibri"/>
          <w:sz w:val="22"/>
          <w:szCs w:val="22"/>
          <w:lang w:val="en-GB"/>
        </w:rPr>
        <w:t>. Grievances include anti-harassment and anti-bullying and dignity at work complaints. Because the figures relate to such small numbers differences do not necessarily indicate a problem.</w:t>
      </w:r>
    </w:p>
    <w:p w:rsidR="006E4F2A" w:rsidRDefault="006E4F2A" w:rsidP="00FE3B9B">
      <w:pPr>
        <w:spacing w:line="360" w:lineRule="auto"/>
        <w:rPr>
          <w:rFonts w:ascii="Calibri" w:hAnsi="Calibri" w:cs="Calibri"/>
          <w:b/>
          <w:color w:val="A52432"/>
          <w:sz w:val="22"/>
          <w:szCs w:val="22"/>
          <w:lang w:val="en-GB"/>
        </w:rPr>
      </w:pPr>
    </w:p>
    <w:p w:rsidR="004E7CA6" w:rsidRDefault="004E7CA6"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Disability</w:t>
      </w:r>
    </w:p>
    <w:p w:rsidR="004E7CA6" w:rsidRPr="004E7CA6" w:rsidRDefault="004E7CA6" w:rsidP="00FE3B9B">
      <w:pPr>
        <w:spacing w:line="360" w:lineRule="auto"/>
        <w:rPr>
          <w:rFonts w:ascii="Calibri" w:hAnsi="Calibri" w:cs="Calibri"/>
          <w:b/>
          <w:color w:val="A52432"/>
          <w:sz w:val="22"/>
          <w:szCs w:val="22"/>
          <w:lang w:val="en-GB"/>
        </w:rPr>
      </w:pPr>
    </w:p>
    <w:p w:rsidR="00987753" w:rsidRDefault="0056672F" w:rsidP="00FE3B9B">
      <w:pPr>
        <w:spacing w:line="360" w:lineRule="auto"/>
        <w:rPr>
          <w:rFonts w:ascii="Calibri" w:hAnsi="Calibri" w:cs="Calibri"/>
          <w:sz w:val="22"/>
          <w:szCs w:val="22"/>
          <w:lang w:val="en-GB"/>
        </w:rPr>
      </w:pPr>
      <w:r>
        <w:rPr>
          <w:noProof/>
          <w:lang w:val="en-GB" w:eastAsia="en-GB"/>
        </w:rPr>
        <w:drawing>
          <wp:inline distT="0" distB="0" distL="0" distR="0" wp14:anchorId="18A0BA96" wp14:editId="6922B9E6">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7753" w:rsidRDefault="00987753" w:rsidP="00FE3B9B">
      <w:pPr>
        <w:spacing w:line="360" w:lineRule="auto"/>
        <w:rPr>
          <w:rFonts w:ascii="Calibri" w:hAnsi="Calibri" w:cs="Calibri"/>
          <w:sz w:val="22"/>
          <w:szCs w:val="22"/>
          <w:lang w:val="en-GB"/>
        </w:rPr>
      </w:pPr>
    </w:p>
    <w:p w:rsidR="00801859" w:rsidRDefault="00801859">
      <w:pPr>
        <w:rPr>
          <w:rFonts w:ascii="Calibri" w:hAnsi="Calibri" w:cs="Calibri"/>
          <w:b/>
          <w:color w:val="A52432"/>
          <w:sz w:val="22"/>
          <w:szCs w:val="22"/>
          <w:lang w:val="en-GB"/>
        </w:rPr>
      </w:pPr>
      <w:r>
        <w:rPr>
          <w:rFonts w:ascii="Calibri" w:hAnsi="Calibri" w:cs="Calibri"/>
          <w:b/>
          <w:color w:val="A52432"/>
          <w:sz w:val="22"/>
          <w:szCs w:val="22"/>
          <w:lang w:val="en-GB"/>
        </w:rPr>
        <w:br w:type="page"/>
      </w:r>
    </w:p>
    <w:p w:rsidR="004E7CA6" w:rsidRDefault="004E7CA6"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lastRenderedPageBreak/>
        <w:t>Ethnicity</w:t>
      </w:r>
    </w:p>
    <w:p w:rsidR="00987753" w:rsidRDefault="00987753" w:rsidP="00FE3B9B">
      <w:pPr>
        <w:spacing w:line="360" w:lineRule="auto"/>
        <w:rPr>
          <w:rFonts w:ascii="Calibri" w:hAnsi="Calibri" w:cs="Calibri"/>
          <w:sz w:val="22"/>
          <w:szCs w:val="22"/>
          <w:lang w:val="en-GB"/>
        </w:rPr>
      </w:pPr>
    </w:p>
    <w:p w:rsidR="00987753" w:rsidRDefault="0056672F" w:rsidP="00FE3B9B">
      <w:pPr>
        <w:spacing w:line="360" w:lineRule="auto"/>
        <w:rPr>
          <w:rFonts w:ascii="Calibri" w:hAnsi="Calibri" w:cs="Calibri"/>
          <w:sz w:val="22"/>
          <w:szCs w:val="22"/>
          <w:lang w:val="en-GB"/>
        </w:rPr>
      </w:pPr>
      <w:r>
        <w:rPr>
          <w:noProof/>
          <w:lang w:val="en-GB" w:eastAsia="en-GB"/>
        </w:rPr>
        <w:drawing>
          <wp:inline distT="0" distB="0" distL="0" distR="0" wp14:anchorId="130BAB48" wp14:editId="41B6A22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672F" w:rsidRDefault="0056672F" w:rsidP="00FE3B9B">
      <w:pPr>
        <w:spacing w:line="360" w:lineRule="auto"/>
        <w:rPr>
          <w:rFonts w:ascii="Calibri" w:hAnsi="Calibri" w:cs="Calibri"/>
          <w:sz w:val="22"/>
          <w:szCs w:val="22"/>
          <w:lang w:val="en-GB"/>
        </w:rPr>
      </w:pPr>
    </w:p>
    <w:p w:rsidR="00801859" w:rsidRPr="00801859" w:rsidRDefault="00801859"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t>Age</w:t>
      </w:r>
    </w:p>
    <w:p w:rsidR="00987753" w:rsidRDefault="00987753" w:rsidP="00FE3B9B">
      <w:pPr>
        <w:spacing w:line="360" w:lineRule="auto"/>
        <w:rPr>
          <w:rFonts w:ascii="Calibri" w:hAnsi="Calibri" w:cs="Calibri"/>
          <w:sz w:val="22"/>
          <w:szCs w:val="22"/>
          <w:lang w:val="en-GB"/>
        </w:rPr>
      </w:pPr>
    </w:p>
    <w:p w:rsidR="0056672F" w:rsidRDefault="0056672F" w:rsidP="00FE3B9B">
      <w:pPr>
        <w:spacing w:line="360" w:lineRule="auto"/>
        <w:rPr>
          <w:rFonts w:ascii="Calibri" w:hAnsi="Calibri" w:cs="Calibri"/>
          <w:sz w:val="22"/>
          <w:szCs w:val="22"/>
          <w:lang w:val="en-GB"/>
        </w:rPr>
      </w:pPr>
      <w:r>
        <w:rPr>
          <w:noProof/>
          <w:lang w:val="en-GB" w:eastAsia="en-GB"/>
        </w:rPr>
        <w:drawing>
          <wp:inline distT="0" distB="0" distL="0" distR="0" wp14:anchorId="02185F5F" wp14:editId="7C0F6AE4">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1859" w:rsidRDefault="00801859">
      <w:pPr>
        <w:rPr>
          <w:rFonts w:ascii="Calibri" w:hAnsi="Calibri" w:cs="Calibri"/>
          <w:sz w:val="22"/>
          <w:szCs w:val="22"/>
          <w:lang w:val="en-GB"/>
        </w:rPr>
      </w:pPr>
      <w:r>
        <w:rPr>
          <w:rFonts w:ascii="Calibri" w:hAnsi="Calibri" w:cs="Calibri"/>
          <w:sz w:val="22"/>
          <w:szCs w:val="22"/>
          <w:lang w:val="en-GB"/>
        </w:rPr>
        <w:br w:type="page"/>
      </w:r>
    </w:p>
    <w:p w:rsidR="00987753" w:rsidRPr="00801859" w:rsidRDefault="00801859" w:rsidP="00FE3B9B">
      <w:pPr>
        <w:spacing w:line="360" w:lineRule="auto"/>
        <w:rPr>
          <w:rFonts w:ascii="Calibri" w:hAnsi="Calibri" w:cs="Calibri"/>
          <w:b/>
          <w:color w:val="A52432"/>
          <w:sz w:val="22"/>
          <w:szCs w:val="22"/>
          <w:lang w:val="en-GB"/>
        </w:rPr>
      </w:pPr>
      <w:r>
        <w:rPr>
          <w:rFonts w:ascii="Calibri" w:hAnsi="Calibri" w:cs="Calibri"/>
          <w:b/>
          <w:color w:val="A52432"/>
          <w:sz w:val="22"/>
          <w:szCs w:val="22"/>
          <w:lang w:val="en-GB"/>
        </w:rPr>
        <w:lastRenderedPageBreak/>
        <w:t>Ge</w:t>
      </w:r>
      <w:r w:rsidRPr="0056672F">
        <w:rPr>
          <w:rFonts w:ascii="Calibri" w:hAnsi="Calibri" w:cs="Calibri"/>
          <w:b/>
          <w:color w:val="A52432"/>
          <w:sz w:val="22"/>
          <w:szCs w:val="22"/>
          <w:lang w:val="en-GB"/>
        </w:rPr>
        <w:t>n</w:t>
      </w:r>
      <w:r>
        <w:rPr>
          <w:rFonts w:ascii="Calibri" w:hAnsi="Calibri" w:cs="Calibri"/>
          <w:b/>
          <w:color w:val="A52432"/>
          <w:sz w:val="22"/>
          <w:szCs w:val="22"/>
          <w:lang w:val="en-GB"/>
        </w:rPr>
        <w:t>der</w:t>
      </w:r>
    </w:p>
    <w:p w:rsidR="00987753" w:rsidRDefault="00987753" w:rsidP="00FE3B9B">
      <w:pPr>
        <w:spacing w:line="360" w:lineRule="auto"/>
        <w:rPr>
          <w:rFonts w:ascii="Calibri" w:hAnsi="Calibri" w:cs="Calibri"/>
          <w:sz w:val="22"/>
          <w:szCs w:val="22"/>
          <w:lang w:val="en-GB"/>
        </w:rPr>
      </w:pPr>
    </w:p>
    <w:p w:rsidR="00987753" w:rsidRDefault="0056672F" w:rsidP="00FE3B9B">
      <w:pPr>
        <w:spacing w:line="360" w:lineRule="auto"/>
        <w:rPr>
          <w:rFonts w:ascii="Calibri" w:hAnsi="Calibri" w:cs="Calibri"/>
          <w:sz w:val="22"/>
          <w:szCs w:val="22"/>
          <w:lang w:val="en-GB"/>
        </w:rPr>
      </w:pPr>
      <w:r>
        <w:rPr>
          <w:noProof/>
          <w:lang w:val="en-GB" w:eastAsia="en-GB"/>
        </w:rPr>
        <w:drawing>
          <wp:inline distT="0" distB="0" distL="0" distR="0" wp14:anchorId="3AA790D0" wp14:editId="496B4345">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672F" w:rsidRDefault="0056672F" w:rsidP="00FE3B9B">
      <w:pPr>
        <w:spacing w:line="360" w:lineRule="auto"/>
        <w:rPr>
          <w:rFonts w:ascii="Calibri" w:hAnsi="Calibri" w:cs="Calibri"/>
          <w:sz w:val="22"/>
          <w:szCs w:val="22"/>
          <w:lang w:val="en-GB"/>
        </w:rPr>
      </w:pPr>
    </w:p>
    <w:p w:rsidR="0056672F" w:rsidRDefault="0056672F">
      <w:pPr>
        <w:rPr>
          <w:rFonts w:ascii="Calibri" w:hAnsi="Calibri" w:cs="Calibri"/>
          <w:b/>
          <w:color w:val="A52432"/>
          <w:sz w:val="30"/>
          <w:szCs w:val="30"/>
          <w:lang w:val="en-GB"/>
        </w:rPr>
      </w:pPr>
      <w:r>
        <w:rPr>
          <w:rFonts w:ascii="Calibri" w:hAnsi="Calibri" w:cs="Calibri"/>
          <w:b/>
          <w:color w:val="A52432"/>
          <w:sz w:val="30"/>
          <w:szCs w:val="30"/>
          <w:lang w:val="en-GB"/>
        </w:rPr>
        <w:br w:type="page"/>
      </w:r>
    </w:p>
    <w:p w:rsidR="00AB14A2" w:rsidRPr="0056672F" w:rsidRDefault="00BC5DAD" w:rsidP="00FE3B9B">
      <w:pPr>
        <w:spacing w:line="360" w:lineRule="auto"/>
        <w:rPr>
          <w:rFonts w:ascii="Calibri" w:hAnsi="Calibri" w:cs="Calibri"/>
          <w:b/>
          <w:color w:val="A52432"/>
          <w:sz w:val="30"/>
          <w:szCs w:val="30"/>
          <w:lang w:val="en-GB"/>
        </w:rPr>
      </w:pPr>
      <w:r w:rsidRPr="0056672F">
        <w:rPr>
          <w:rFonts w:ascii="Calibri" w:hAnsi="Calibri" w:cs="Calibri"/>
          <w:b/>
          <w:color w:val="A52432"/>
          <w:sz w:val="30"/>
          <w:szCs w:val="30"/>
          <w:lang w:val="en-GB"/>
        </w:rPr>
        <w:lastRenderedPageBreak/>
        <w:t>Current developments</w:t>
      </w:r>
    </w:p>
    <w:p w:rsidR="0056672F" w:rsidRDefault="00BC5DAD" w:rsidP="00FE3B9B">
      <w:pPr>
        <w:spacing w:line="360" w:lineRule="auto"/>
        <w:rPr>
          <w:rFonts w:ascii="Calibri" w:hAnsi="Calibri" w:cs="Calibri"/>
          <w:sz w:val="22"/>
          <w:szCs w:val="22"/>
          <w:lang w:val="en-GB"/>
        </w:rPr>
      </w:pPr>
      <w:r>
        <w:rPr>
          <w:rFonts w:ascii="Calibri" w:hAnsi="Calibri" w:cs="Calibri"/>
          <w:sz w:val="22"/>
          <w:szCs w:val="22"/>
          <w:lang w:val="en-GB"/>
        </w:rPr>
        <w:t>A process to collect sexual orientation data has commenced using the SIR return.  To date there ha</w:t>
      </w:r>
      <w:r w:rsidR="0056672F">
        <w:rPr>
          <w:rFonts w:ascii="Calibri" w:hAnsi="Calibri" w:cs="Calibri"/>
          <w:sz w:val="22"/>
          <w:szCs w:val="22"/>
          <w:lang w:val="en-GB"/>
        </w:rPr>
        <w:t xml:space="preserve">ve been 423 </w:t>
      </w:r>
      <w:r w:rsidR="005A328C">
        <w:rPr>
          <w:rFonts w:ascii="Calibri" w:hAnsi="Calibri" w:cs="Calibri"/>
          <w:sz w:val="22"/>
          <w:szCs w:val="22"/>
          <w:lang w:val="en-GB"/>
        </w:rPr>
        <w:t xml:space="preserve">(38.4%) </w:t>
      </w:r>
      <w:r w:rsidR="0056672F">
        <w:rPr>
          <w:rFonts w:ascii="Calibri" w:hAnsi="Calibri" w:cs="Calibri"/>
          <w:sz w:val="22"/>
          <w:szCs w:val="22"/>
          <w:lang w:val="en-GB"/>
        </w:rPr>
        <w:t>returns from staff with 5 people declaring they are from a protected sexual characteristic group.</w:t>
      </w:r>
    </w:p>
    <w:p w:rsidR="0056672F" w:rsidRDefault="0056672F" w:rsidP="00FE3B9B">
      <w:pPr>
        <w:spacing w:line="360" w:lineRule="auto"/>
        <w:rPr>
          <w:rFonts w:ascii="Calibri" w:hAnsi="Calibri" w:cs="Calibri"/>
          <w:sz w:val="22"/>
          <w:szCs w:val="22"/>
          <w:lang w:val="en-GB"/>
        </w:rPr>
      </w:pPr>
    </w:p>
    <w:p w:rsidR="0056672F" w:rsidRDefault="005A328C" w:rsidP="00FE3B9B">
      <w:pPr>
        <w:spacing w:line="360" w:lineRule="auto"/>
        <w:rPr>
          <w:rFonts w:ascii="Calibri" w:hAnsi="Calibri" w:cs="Calibri"/>
          <w:sz w:val="22"/>
          <w:szCs w:val="22"/>
          <w:lang w:val="en-GB"/>
        </w:rPr>
      </w:pPr>
      <w:r>
        <w:rPr>
          <w:noProof/>
          <w:lang w:val="en-GB" w:eastAsia="en-GB"/>
        </w:rPr>
        <w:drawing>
          <wp:inline distT="0" distB="0" distL="0" distR="0" wp14:anchorId="0DB202A8" wp14:editId="011CA7C6">
            <wp:extent cx="5237018" cy="3230089"/>
            <wp:effectExtent l="0" t="0" r="190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672F" w:rsidRDefault="0056672F" w:rsidP="00FE3B9B">
      <w:pPr>
        <w:spacing w:line="360" w:lineRule="auto"/>
        <w:rPr>
          <w:rFonts w:ascii="Calibri" w:hAnsi="Calibri" w:cs="Calibri"/>
          <w:sz w:val="22"/>
          <w:szCs w:val="22"/>
          <w:lang w:val="en-GB"/>
        </w:rPr>
      </w:pPr>
    </w:p>
    <w:p w:rsidR="00546C26" w:rsidRDefault="00A82234" w:rsidP="00FE3B9B">
      <w:pPr>
        <w:spacing w:line="360" w:lineRule="auto"/>
        <w:rPr>
          <w:rFonts w:ascii="Calibri" w:hAnsi="Calibri" w:cs="Calibri"/>
          <w:sz w:val="22"/>
          <w:szCs w:val="22"/>
          <w:lang w:val="en-GB"/>
        </w:rPr>
      </w:pPr>
      <w:r>
        <w:rPr>
          <w:rFonts w:ascii="Calibri" w:hAnsi="Calibri" w:cs="Calibri"/>
          <w:sz w:val="22"/>
          <w:szCs w:val="22"/>
          <w:lang w:val="en-GB"/>
        </w:rPr>
        <w:t xml:space="preserve">In 2010/11 there were 50 employees who took maternity leave. </w:t>
      </w:r>
      <w:r w:rsidR="00546C26">
        <w:rPr>
          <w:rFonts w:ascii="Calibri" w:hAnsi="Calibri" w:cs="Calibri"/>
          <w:sz w:val="22"/>
          <w:szCs w:val="22"/>
          <w:lang w:val="en-GB"/>
        </w:rPr>
        <w:t xml:space="preserve">The college has a flexible working procedure that is impact assessed.   An analysis of these requests shows that all have either been fully or partially accepted and therefore no areas of concern have been identified.  This is an area that will continue to be monitored. </w:t>
      </w:r>
    </w:p>
    <w:p w:rsidR="00546C26" w:rsidRDefault="00546C26" w:rsidP="00FE3B9B">
      <w:pPr>
        <w:spacing w:line="360" w:lineRule="auto"/>
        <w:rPr>
          <w:rFonts w:ascii="Calibri" w:hAnsi="Calibri" w:cs="Calibri"/>
          <w:sz w:val="22"/>
          <w:szCs w:val="22"/>
          <w:lang w:val="en-GB"/>
        </w:rPr>
      </w:pPr>
    </w:p>
    <w:p w:rsidR="00546C26" w:rsidRPr="00546C26" w:rsidRDefault="00546C26" w:rsidP="00FE3B9B">
      <w:pPr>
        <w:spacing w:line="360" w:lineRule="auto"/>
        <w:rPr>
          <w:rFonts w:ascii="Calibri" w:hAnsi="Calibri" w:cs="Calibri"/>
          <w:sz w:val="22"/>
          <w:szCs w:val="22"/>
          <w:lang w:val="en-GB"/>
        </w:rPr>
      </w:pPr>
    </w:p>
    <w:p w:rsidR="00C4406A" w:rsidRPr="00432ACC" w:rsidRDefault="00C4406A" w:rsidP="00FE3B9B">
      <w:pPr>
        <w:spacing w:line="360" w:lineRule="auto"/>
        <w:jc w:val="right"/>
        <w:rPr>
          <w:rFonts w:ascii="Calibri" w:hAnsi="Calibri" w:cs="Calibri"/>
          <w:color w:val="A52432"/>
          <w:sz w:val="16"/>
          <w:szCs w:val="16"/>
          <w:lang w:val="en-GB"/>
        </w:rPr>
      </w:pPr>
    </w:p>
    <w:sectPr w:rsidR="00C4406A" w:rsidRPr="00432ACC" w:rsidSect="00E0342C">
      <w:headerReference w:type="even" r:id="rId35"/>
      <w:headerReference w:type="default" r:id="rId36"/>
      <w:footerReference w:type="default" r:id="rId37"/>
      <w:headerReference w:type="first" r:id="rId38"/>
      <w:pgSz w:w="11900" w:h="16840" w:code="9"/>
      <w:pgMar w:top="2694" w:right="1797" w:bottom="1985" w:left="1797" w:header="709" w:footer="709"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DAD" w:rsidRDefault="00BC5DAD" w:rsidP="00967C36">
      <w:r>
        <w:separator/>
      </w:r>
    </w:p>
  </w:endnote>
  <w:endnote w:type="continuationSeparator" w:id="0">
    <w:p w:rsidR="00BC5DAD" w:rsidRDefault="00BC5DAD" w:rsidP="0096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14477"/>
      <w:docPartObj>
        <w:docPartGallery w:val="Page Numbers (Bottom of Page)"/>
        <w:docPartUnique/>
      </w:docPartObj>
    </w:sdtPr>
    <w:sdtEndPr>
      <w:rPr>
        <w:rFonts w:ascii="Calibri" w:hAnsi="Calibri" w:cs="Calibri"/>
        <w:b/>
        <w:noProof/>
        <w:color w:val="FFFFFF" w:themeColor="background1"/>
      </w:rPr>
    </w:sdtEndPr>
    <w:sdtContent>
      <w:p w:rsidR="00BC5DAD" w:rsidRPr="00B613EF" w:rsidRDefault="00BC5DAD">
        <w:pPr>
          <w:pStyle w:val="Footer"/>
          <w:jc w:val="right"/>
          <w:rPr>
            <w:rFonts w:ascii="Calibri" w:hAnsi="Calibri" w:cs="Calibri"/>
            <w:b/>
            <w:color w:val="FFFFFF" w:themeColor="background1"/>
          </w:rPr>
        </w:pPr>
        <w:r w:rsidRPr="00B613EF">
          <w:rPr>
            <w:rFonts w:ascii="Calibri" w:hAnsi="Calibri" w:cs="Calibri"/>
            <w:b/>
            <w:color w:val="FFFFFF" w:themeColor="background1"/>
          </w:rPr>
          <w:fldChar w:fldCharType="begin"/>
        </w:r>
        <w:r w:rsidRPr="00B613EF">
          <w:rPr>
            <w:rFonts w:ascii="Calibri" w:hAnsi="Calibri" w:cs="Calibri"/>
            <w:b/>
            <w:color w:val="FFFFFF" w:themeColor="background1"/>
          </w:rPr>
          <w:instrText xml:space="preserve"> PAGE   \* MERGEFORMAT </w:instrText>
        </w:r>
        <w:r w:rsidRPr="00B613EF">
          <w:rPr>
            <w:rFonts w:ascii="Calibri" w:hAnsi="Calibri" w:cs="Calibri"/>
            <w:b/>
            <w:color w:val="FFFFFF" w:themeColor="background1"/>
          </w:rPr>
          <w:fldChar w:fldCharType="separate"/>
        </w:r>
        <w:r w:rsidR="00C33C6C">
          <w:rPr>
            <w:rFonts w:ascii="Calibri" w:hAnsi="Calibri" w:cs="Calibri"/>
            <w:b/>
            <w:noProof/>
            <w:color w:val="FFFFFF" w:themeColor="background1"/>
          </w:rPr>
          <w:t>22</w:t>
        </w:r>
        <w:r w:rsidRPr="00B613EF">
          <w:rPr>
            <w:rFonts w:ascii="Calibri" w:hAnsi="Calibri" w:cs="Calibri"/>
            <w:b/>
            <w:noProof/>
            <w:color w:val="FFFFFF" w:themeColor="background1"/>
          </w:rPr>
          <w:fldChar w:fldCharType="end"/>
        </w:r>
      </w:p>
    </w:sdtContent>
  </w:sdt>
  <w:p w:rsidR="00BC5DAD" w:rsidRDefault="00BC5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DAD" w:rsidRDefault="00BC5DAD" w:rsidP="00967C36">
      <w:r>
        <w:separator/>
      </w:r>
    </w:p>
  </w:footnote>
  <w:footnote w:type="continuationSeparator" w:id="0">
    <w:p w:rsidR="00BC5DAD" w:rsidRDefault="00BC5DAD" w:rsidP="00967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AD" w:rsidRDefault="00C33C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A4 Vision Portrait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AD" w:rsidRDefault="00C33C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1pt;margin-top:-134.7pt;width:595.2pt;height:841.9pt;z-index:-251658240;mso-wrap-edited:f;mso-position-horizontal-relative:margin;mso-position-vertical-relative:margin" wrapcoords="-27 0 -27 21561 21600 21561 21600 0 -27 0">
          <v:imagedata r:id="rId1" o:title="A4 Vision Portrait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AD" w:rsidRDefault="00C33C6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0.1pt;margin-top:-134.85pt;width:595.3pt;height:841.9pt;z-index:-251656192;mso-wrap-edited:f;mso-position-horizontal-relative:margin;mso-position-vertical-relative:margin" wrapcoords="-27 0 -27 19734 16431 20003 16648 20292 17138 20657 17927 20907 18199 20926 18145 20907 18036 20907 19015 20907 19151 20907 20130 20657 20566 20311 20783 20003 20892 19695 20919 19388 20865 19080 20702 18772 20484 18464 20130 18118 19777 17945 19532 17849 19505 17676 18253 17637 9711 17541 12405 16906 14907 16291 16023 16002 17873 15983 20130 15829 20130 15695 19994 15060 20756 14771 21028 14752 21600 14541 21600 0 -27 0">
          <v:imagedata r:id="rId1" o:title="HR Reprt Cov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2A5"/>
    <w:multiLevelType w:val="hybridMultilevel"/>
    <w:tmpl w:val="8C725EE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4B12B42"/>
    <w:multiLevelType w:val="hybridMultilevel"/>
    <w:tmpl w:val="80CA40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E80655"/>
    <w:multiLevelType w:val="hybridMultilevel"/>
    <w:tmpl w:val="2EBE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FE53FB"/>
    <w:multiLevelType w:val="hybridMultilevel"/>
    <w:tmpl w:val="7C3A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983E1E"/>
    <w:multiLevelType w:val="hybridMultilevel"/>
    <w:tmpl w:val="873478F4"/>
    <w:lvl w:ilvl="0" w:tplc="0AD87B2A">
      <w:start w:val="3"/>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046285"/>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6">
    <w:nsid w:val="2D7C1D20"/>
    <w:multiLevelType w:val="hybridMultilevel"/>
    <w:tmpl w:val="A87C3E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0293EC1"/>
    <w:multiLevelType w:val="hybridMultilevel"/>
    <w:tmpl w:val="68C82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CF37E9"/>
    <w:multiLevelType w:val="hybridMultilevel"/>
    <w:tmpl w:val="9CE6C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0B3540E"/>
    <w:multiLevelType w:val="hybridMultilevel"/>
    <w:tmpl w:val="C74AD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2A1547E"/>
    <w:multiLevelType w:val="hybridMultilevel"/>
    <w:tmpl w:val="12384B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74E337A"/>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nsid w:val="47BE77C5"/>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4BD0361D"/>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4">
    <w:nsid w:val="4C384513"/>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5">
    <w:nsid w:val="5281627C"/>
    <w:multiLevelType w:val="hybridMultilevel"/>
    <w:tmpl w:val="281C3502"/>
    <w:lvl w:ilvl="0" w:tplc="CC1E1FF4">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F82CA3"/>
    <w:multiLevelType w:val="hybridMultilevel"/>
    <w:tmpl w:val="8DAEB5D2"/>
    <w:lvl w:ilvl="0" w:tplc="EE0247A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5AC7042"/>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8">
    <w:nsid w:val="612B7B2F"/>
    <w:multiLevelType w:val="hybridMultilevel"/>
    <w:tmpl w:val="30BA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EC747A"/>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0">
    <w:nsid w:val="687C30A7"/>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1">
    <w:nsid w:val="6D0A773C"/>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2">
    <w:nsid w:val="6D33049A"/>
    <w:multiLevelType w:val="hybridMultilevel"/>
    <w:tmpl w:val="74BCD0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0930BD5"/>
    <w:multiLevelType w:val="hybridMultilevel"/>
    <w:tmpl w:val="8B3CE6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AC431C"/>
    <w:multiLevelType w:val="multilevel"/>
    <w:tmpl w:val="06D6B5F6"/>
    <w:lvl w:ilvl="0">
      <w:start w:val="1"/>
      <w:numFmt w:val="decimal"/>
      <w:lvlText w:val="%1.0"/>
      <w:lvlJc w:val="left"/>
      <w:pPr>
        <w:tabs>
          <w:tab w:val="num" w:pos="720"/>
        </w:tabs>
        <w:ind w:left="720" w:hanging="720"/>
      </w:pPr>
      <w:rPr>
        <w:rFonts w:ascii="Arial" w:hAnsi="Arial" w:cs="Times New Roman" w:hint="default"/>
        <w:sz w:val="28"/>
        <w:szCs w:val="28"/>
      </w:rPr>
    </w:lvl>
    <w:lvl w:ilvl="1">
      <w:start w:val="1"/>
      <w:numFmt w:val="bullet"/>
      <w:lvlText w:val=""/>
      <w:lvlJc w:val="left"/>
      <w:pPr>
        <w:tabs>
          <w:tab w:val="num" w:pos="1080"/>
        </w:tabs>
        <w:ind w:left="1080" w:hanging="360"/>
      </w:pPr>
      <w:rPr>
        <w:rFonts w:ascii="Symbol" w:hAnsi="Symbol" w:hint="default"/>
        <w:sz w:val="28"/>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5">
    <w:nsid w:val="7B0B2711"/>
    <w:multiLevelType w:val="multilevel"/>
    <w:tmpl w:val="E8F4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751C02"/>
    <w:multiLevelType w:val="hybridMultilevel"/>
    <w:tmpl w:val="EFC61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4C17DE"/>
    <w:multiLevelType w:val="hybridMultilevel"/>
    <w:tmpl w:val="D834D738"/>
    <w:lvl w:ilvl="0" w:tplc="A3BAAF7C">
      <w:start w:val="3"/>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8"/>
  </w:num>
  <w:num w:numId="4">
    <w:abstractNumId w:val="26"/>
  </w:num>
  <w:num w:numId="5">
    <w:abstractNumId w:val="10"/>
  </w:num>
  <w:num w:numId="6">
    <w:abstractNumId w:val="1"/>
  </w:num>
  <w:num w:numId="7">
    <w:abstractNumId w:val="7"/>
  </w:num>
  <w:num w:numId="8">
    <w:abstractNumId w:val="22"/>
  </w:num>
  <w:num w:numId="9">
    <w:abstractNumId w:val="18"/>
  </w:num>
  <w:num w:numId="10">
    <w:abstractNumId w:val="6"/>
  </w:num>
  <w:num w:numId="11">
    <w:abstractNumId w:val="2"/>
  </w:num>
  <w:num w:numId="12">
    <w:abstractNumId w:val="3"/>
  </w:num>
  <w:num w:numId="13">
    <w:abstractNumId w:val="21"/>
  </w:num>
  <w:num w:numId="14">
    <w:abstractNumId w:val="12"/>
  </w:num>
  <w:num w:numId="15">
    <w:abstractNumId w:val="13"/>
  </w:num>
  <w:num w:numId="16">
    <w:abstractNumId w:val="14"/>
  </w:num>
  <w:num w:numId="17">
    <w:abstractNumId w:val="19"/>
  </w:num>
  <w:num w:numId="18">
    <w:abstractNumId w:val="17"/>
  </w:num>
  <w:num w:numId="19">
    <w:abstractNumId w:val="5"/>
  </w:num>
  <w:num w:numId="20">
    <w:abstractNumId w:val="24"/>
  </w:num>
  <w:num w:numId="21">
    <w:abstractNumId w:val="11"/>
  </w:num>
  <w:num w:numId="22">
    <w:abstractNumId w:val="4"/>
  </w:num>
  <w:num w:numId="23">
    <w:abstractNumId w:val="27"/>
  </w:num>
  <w:num w:numId="24">
    <w:abstractNumId w:val="9"/>
  </w:num>
  <w:num w:numId="25">
    <w:abstractNumId w:val="16"/>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36"/>
    <w:rsid w:val="00015EB9"/>
    <w:rsid w:val="00017707"/>
    <w:rsid w:val="00026B54"/>
    <w:rsid w:val="000367D9"/>
    <w:rsid w:val="00036B2E"/>
    <w:rsid w:val="000557C6"/>
    <w:rsid w:val="0009649B"/>
    <w:rsid w:val="000B1C7C"/>
    <w:rsid w:val="000E1D27"/>
    <w:rsid w:val="000E2D18"/>
    <w:rsid w:val="000F0683"/>
    <w:rsid w:val="00115FB6"/>
    <w:rsid w:val="00130DB7"/>
    <w:rsid w:val="00163E79"/>
    <w:rsid w:val="001736CF"/>
    <w:rsid w:val="00180AED"/>
    <w:rsid w:val="001C0D1F"/>
    <w:rsid w:val="001D19EE"/>
    <w:rsid w:val="001F7D25"/>
    <w:rsid w:val="00210A55"/>
    <w:rsid w:val="00211DE6"/>
    <w:rsid w:val="002310E8"/>
    <w:rsid w:val="00243D7A"/>
    <w:rsid w:val="00243F3E"/>
    <w:rsid w:val="00255717"/>
    <w:rsid w:val="00282847"/>
    <w:rsid w:val="0029425D"/>
    <w:rsid w:val="002978FA"/>
    <w:rsid w:val="002B2ECA"/>
    <w:rsid w:val="002F4552"/>
    <w:rsid w:val="0031125D"/>
    <w:rsid w:val="00344459"/>
    <w:rsid w:val="0037588C"/>
    <w:rsid w:val="00377A3F"/>
    <w:rsid w:val="003B633A"/>
    <w:rsid w:val="003E646E"/>
    <w:rsid w:val="003F3DF2"/>
    <w:rsid w:val="003F453C"/>
    <w:rsid w:val="003F5550"/>
    <w:rsid w:val="0040093E"/>
    <w:rsid w:val="0040151F"/>
    <w:rsid w:val="00414364"/>
    <w:rsid w:val="004257FF"/>
    <w:rsid w:val="00432ACC"/>
    <w:rsid w:val="00435D13"/>
    <w:rsid w:val="00436078"/>
    <w:rsid w:val="00441F25"/>
    <w:rsid w:val="00445677"/>
    <w:rsid w:val="00475AA3"/>
    <w:rsid w:val="004A0423"/>
    <w:rsid w:val="004A6D26"/>
    <w:rsid w:val="004B42E2"/>
    <w:rsid w:val="004C6565"/>
    <w:rsid w:val="004D1CB8"/>
    <w:rsid w:val="004E7CA6"/>
    <w:rsid w:val="004F1A71"/>
    <w:rsid w:val="005002C8"/>
    <w:rsid w:val="00503B37"/>
    <w:rsid w:val="00517430"/>
    <w:rsid w:val="0053588E"/>
    <w:rsid w:val="00546C26"/>
    <w:rsid w:val="0056672F"/>
    <w:rsid w:val="00573733"/>
    <w:rsid w:val="005A328C"/>
    <w:rsid w:val="005B0E32"/>
    <w:rsid w:val="005B1F86"/>
    <w:rsid w:val="005B65D1"/>
    <w:rsid w:val="005D464E"/>
    <w:rsid w:val="0062375A"/>
    <w:rsid w:val="00672AFA"/>
    <w:rsid w:val="00683F46"/>
    <w:rsid w:val="00691FAB"/>
    <w:rsid w:val="006B0033"/>
    <w:rsid w:val="006B186E"/>
    <w:rsid w:val="006C010C"/>
    <w:rsid w:val="006C2623"/>
    <w:rsid w:val="006C2B3C"/>
    <w:rsid w:val="006D0745"/>
    <w:rsid w:val="006E4F2A"/>
    <w:rsid w:val="006E58DE"/>
    <w:rsid w:val="00725C3A"/>
    <w:rsid w:val="007459C0"/>
    <w:rsid w:val="00747A0B"/>
    <w:rsid w:val="00754AEB"/>
    <w:rsid w:val="00775D0E"/>
    <w:rsid w:val="007B0125"/>
    <w:rsid w:val="007B4CA1"/>
    <w:rsid w:val="007D0435"/>
    <w:rsid w:val="00801859"/>
    <w:rsid w:val="008043CE"/>
    <w:rsid w:val="00837AEF"/>
    <w:rsid w:val="00861127"/>
    <w:rsid w:val="008A3DDF"/>
    <w:rsid w:val="008A538F"/>
    <w:rsid w:val="008B15AB"/>
    <w:rsid w:val="008C3616"/>
    <w:rsid w:val="008C36C8"/>
    <w:rsid w:val="008C5606"/>
    <w:rsid w:val="008D58EC"/>
    <w:rsid w:val="008D63D8"/>
    <w:rsid w:val="008F0922"/>
    <w:rsid w:val="00923FCD"/>
    <w:rsid w:val="0093395A"/>
    <w:rsid w:val="00957412"/>
    <w:rsid w:val="00967C36"/>
    <w:rsid w:val="009730C1"/>
    <w:rsid w:val="00987753"/>
    <w:rsid w:val="00A0429C"/>
    <w:rsid w:val="00A46C39"/>
    <w:rsid w:val="00A748F6"/>
    <w:rsid w:val="00A82234"/>
    <w:rsid w:val="00AB14A2"/>
    <w:rsid w:val="00AC085D"/>
    <w:rsid w:val="00AC0987"/>
    <w:rsid w:val="00AC483C"/>
    <w:rsid w:val="00B04A7D"/>
    <w:rsid w:val="00B20885"/>
    <w:rsid w:val="00B223E6"/>
    <w:rsid w:val="00B31D1C"/>
    <w:rsid w:val="00B35C2A"/>
    <w:rsid w:val="00B447FB"/>
    <w:rsid w:val="00B511DB"/>
    <w:rsid w:val="00B613EF"/>
    <w:rsid w:val="00B62D1C"/>
    <w:rsid w:val="00B73112"/>
    <w:rsid w:val="00B80367"/>
    <w:rsid w:val="00BC5DAD"/>
    <w:rsid w:val="00BD3206"/>
    <w:rsid w:val="00BD78EC"/>
    <w:rsid w:val="00BE6ADF"/>
    <w:rsid w:val="00BF3DFD"/>
    <w:rsid w:val="00C33C6C"/>
    <w:rsid w:val="00C4406A"/>
    <w:rsid w:val="00C537E6"/>
    <w:rsid w:val="00C56328"/>
    <w:rsid w:val="00C63A86"/>
    <w:rsid w:val="00C9695D"/>
    <w:rsid w:val="00CB1BBD"/>
    <w:rsid w:val="00D272CE"/>
    <w:rsid w:val="00D37E59"/>
    <w:rsid w:val="00D40B68"/>
    <w:rsid w:val="00D61DAD"/>
    <w:rsid w:val="00D71B77"/>
    <w:rsid w:val="00D91302"/>
    <w:rsid w:val="00D95C96"/>
    <w:rsid w:val="00DA1FD1"/>
    <w:rsid w:val="00DB5D10"/>
    <w:rsid w:val="00DD4F9E"/>
    <w:rsid w:val="00DF526C"/>
    <w:rsid w:val="00E00EFC"/>
    <w:rsid w:val="00E0342C"/>
    <w:rsid w:val="00E21955"/>
    <w:rsid w:val="00E277A8"/>
    <w:rsid w:val="00E632CF"/>
    <w:rsid w:val="00E73FC3"/>
    <w:rsid w:val="00E74A37"/>
    <w:rsid w:val="00E941B7"/>
    <w:rsid w:val="00EB0703"/>
    <w:rsid w:val="00EC49C3"/>
    <w:rsid w:val="00EC7B89"/>
    <w:rsid w:val="00ED15BD"/>
    <w:rsid w:val="00EF54AB"/>
    <w:rsid w:val="00F00851"/>
    <w:rsid w:val="00F104D8"/>
    <w:rsid w:val="00F33AC0"/>
    <w:rsid w:val="00F87D70"/>
    <w:rsid w:val="00F94CF8"/>
    <w:rsid w:val="00F959B9"/>
    <w:rsid w:val="00F96EA0"/>
    <w:rsid w:val="00FE3B9B"/>
    <w:rsid w:val="00FF20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C36"/>
    <w:pPr>
      <w:tabs>
        <w:tab w:val="center" w:pos="4320"/>
        <w:tab w:val="right" w:pos="8640"/>
      </w:tabs>
    </w:pPr>
  </w:style>
  <w:style w:type="character" w:customStyle="1" w:styleId="HeaderChar">
    <w:name w:val="Header Char"/>
    <w:basedOn w:val="DefaultParagraphFont"/>
    <w:link w:val="Header"/>
    <w:uiPriority w:val="99"/>
    <w:rsid w:val="00967C36"/>
  </w:style>
  <w:style w:type="paragraph" w:styleId="Footer">
    <w:name w:val="footer"/>
    <w:basedOn w:val="Normal"/>
    <w:link w:val="FooterChar"/>
    <w:uiPriority w:val="99"/>
    <w:unhideWhenUsed/>
    <w:rsid w:val="00967C36"/>
    <w:pPr>
      <w:tabs>
        <w:tab w:val="center" w:pos="4320"/>
        <w:tab w:val="right" w:pos="8640"/>
      </w:tabs>
    </w:pPr>
  </w:style>
  <w:style w:type="character" w:customStyle="1" w:styleId="FooterChar">
    <w:name w:val="Footer Char"/>
    <w:basedOn w:val="DefaultParagraphFont"/>
    <w:link w:val="Footer"/>
    <w:uiPriority w:val="99"/>
    <w:rsid w:val="00967C36"/>
  </w:style>
  <w:style w:type="paragraph" w:styleId="ListParagraph">
    <w:name w:val="List Paragraph"/>
    <w:basedOn w:val="Normal"/>
    <w:uiPriority w:val="34"/>
    <w:qFormat/>
    <w:rsid w:val="001F7D25"/>
    <w:pPr>
      <w:ind w:left="720"/>
      <w:contextualSpacing/>
    </w:pPr>
  </w:style>
  <w:style w:type="table" w:styleId="TableGrid">
    <w:name w:val="Table Grid"/>
    <w:basedOn w:val="TableNormal"/>
    <w:uiPriority w:val="59"/>
    <w:rsid w:val="008B15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3">
    <w:name w:val="Medium List 2 Accent 3"/>
    <w:basedOn w:val="TableNormal"/>
    <w:uiPriority w:val="66"/>
    <w:rsid w:val="002978FA"/>
    <w:rPr>
      <w:rFonts w:asciiTheme="majorHAnsi" w:eastAsiaTheme="majorEastAsia" w:hAnsiTheme="majorHAnsi" w:cstheme="majorBidi"/>
      <w:color w:val="000000" w:themeColor="text1"/>
    </w:rPr>
    <w:tblPr>
      <w:tblStyleRowBandSize w:val="1"/>
      <w:tblStyleColBandSize w:val="1"/>
      <w:tblInd w:w="0" w:type="dxa"/>
      <w:tblBorders>
        <w:top w:val="single" w:sz="4" w:space="0" w:color="A2C037"/>
        <w:left w:val="single" w:sz="4" w:space="0" w:color="A2C037"/>
        <w:bottom w:val="single" w:sz="4" w:space="0" w:color="A2C037"/>
        <w:right w:val="single" w:sz="4" w:space="0" w:color="A2C037"/>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0367D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8D5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8A3DD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
    <w:name w:val="Medium Grid 3 Accent 6"/>
    <w:basedOn w:val="TableNormal"/>
    <w:uiPriority w:val="69"/>
    <w:rsid w:val="00F104D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CommentReference">
    <w:name w:val="annotation reference"/>
    <w:basedOn w:val="DefaultParagraphFont"/>
    <w:uiPriority w:val="99"/>
    <w:semiHidden/>
    <w:unhideWhenUsed/>
    <w:rsid w:val="00DB5D10"/>
    <w:rPr>
      <w:sz w:val="16"/>
      <w:szCs w:val="16"/>
    </w:rPr>
  </w:style>
  <w:style w:type="paragraph" w:styleId="CommentText">
    <w:name w:val="annotation text"/>
    <w:basedOn w:val="Normal"/>
    <w:link w:val="CommentTextChar"/>
    <w:uiPriority w:val="99"/>
    <w:semiHidden/>
    <w:unhideWhenUsed/>
    <w:rsid w:val="00DB5D10"/>
    <w:rPr>
      <w:sz w:val="20"/>
      <w:szCs w:val="20"/>
    </w:rPr>
  </w:style>
  <w:style w:type="character" w:customStyle="1" w:styleId="CommentTextChar">
    <w:name w:val="Comment Text Char"/>
    <w:basedOn w:val="DefaultParagraphFont"/>
    <w:link w:val="CommentText"/>
    <w:uiPriority w:val="99"/>
    <w:semiHidden/>
    <w:rsid w:val="00DB5D10"/>
    <w:rPr>
      <w:sz w:val="20"/>
      <w:szCs w:val="20"/>
    </w:rPr>
  </w:style>
  <w:style w:type="paragraph" w:styleId="BalloonText">
    <w:name w:val="Balloon Text"/>
    <w:basedOn w:val="Normal"/>
    <w:link w:val="BalloonTextChar"/>
    <w:uiPriority w:val="99"/>
    <w:semiHidden/>
    <w:unhideWhenUsed/>
    <w:rsid w:val="00DB5D10"/>
    <w:rPr>
      <w:rFonts w:ascii="Tahoma" w:hAnsi="Tahoma" w:cs="Tahoma"/>
      <w:sz w:val="16"/>
      <w:szCs w:val="16"/>
    </w:rPr>
  </w:style>
  <w:style w:type="character" w:customStyle="1" w:styleId="BalloonTextChar">
    <w:name w:val="Balloon Text Char"/>
    <w:basedOn w:val="DefaultParagraphFont"/>
    <w:link w:val="BalloonText"/>
    <w:uiPriority w:val="99"/>
    <w:semiHidden/>
    <w:rsid w:val="00DB5D10"/>
    <w:rPr>
      <w:rFonts w:ascii="Tahoma" w:hAnsi="Tahoma" w:cs="Tahoma"/>
      <w:sz w:val="16"/>
      <w:szCs w:val="16"/>
    </w:rPr>
  </w:style>
  <w:style w:type="table" w:styleId="LightShading">
    <w:name w:val="Light Shading"/>
    <w:basedOn w:val="TableNormal"/>
    <w:uiPriority w:val="60"/>
    <w:rsid w:val="005B65D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9">
    <w:name w:val="Pa9"/>
    <w:basedOn w:val="Normal"/>
    <w:next w:val="Normal"/>
    <w:uiPriority w:val="99"/>
    <w:rsid w:val="00BC5DAD"/>
    <w:pPr>
      <w:autoSpaceDE w:val="0"/>
      <w:autoSpaceDN w:val="0"/>
      <w:adjustRightInd w:val="0"/>
      <w:spacing w:line="241" w:lineRule="atLeast"/>
    </w:pPr>
    <w:rPr>
      <w:rFonts w:ascii="GillSans Light" w:hAnsi="GillSans Light"/>
      <w:lang w:val="en-GB"/>
    </w:rPr>
  </w:style>
  <w:style w:type="paragraph" w:customStyle="1" w:styleId="Pa6">
    <w:name w:val="Pa6"/>
    <w:basedOn w:val="Normal"/>
    <w:next w:val="Normal"/>
    <w:uiPriority w:val="99"/>
    <w:rsid w:val="00BC5DAD"/>
    <w:pPr>
      <w:autoSpaceDE w:val="0"/>
      <w:autoSpaceDN w:val="0"/>
      <w:adjustRightInd w:val="0"/>
      <w:spacing w:line="241" w:lineRule="atLeast"/>
    </w:pPr>
    <w:rPr>
      <w:rFonts w:ascii="GillSans Light" w:hAnsi="GillSans Light"/>
      <w:lang w:val="en-GB"/>
    </w:rPr>
  </w:style>
  <w:style w:type="character" w:customStyle="1" w:styleId="A4">
    <w:name w:val="A4"/>
    <w:uiPriority w:val="99"/>
    <w:rsid w:val="00BC5DAD"/>
    <w:rPr>
      <w:rFonts w:cs="GillSans Ligh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C36"/>
    <w:pPr>
      <w:tabs>
        <w:tab w:val="center" w:pos="4320"/>
        <w:tab w:val="right" w:pos="8640"/>
      </w:tabs>
    </w:pPr>
  </w:style>
  <w:style w:type="character" w:customStyle="1" w:styleId="HeaderChar">
    <w:name w:val="Header Char"/>
    <w:basedOn w:val="DefaultParagraphFont"/>
    <w:link w:val="Header"/>
    <w:uiPriority w:val="99"/>
    <w:rsid w:val="00967C36"/>
  </w:style>
  <w:style w:type="paragraph" w:styleId="Footer">
    <w:name w:val="footer"/>
    <w:basedOn w:val="Normal"/>
    <w:link w:val="FooterChar"/>
    <w:uiPriority w:val="99"/>
    <w:unhideWhenUsed/>
    <w:rsid w:val="00967C36"/>
    <w:pPr>
      <w:tabs>
        <w:tab w:val="center" w:pos="4320"/>
        <w:tab w:val="right" w:pos="8640"/>
      </w:tabs>
    </w:pPr>
  </w:style>
  <w:style w:type="character" w:customStyle="1" w:styleId="FooterChar">
    <w:name w:val="Footer Char"/>
    <w:basedOn w:val="DefaultParagraphFont"/>
    <w:link w:val="Footer"/>
    <w:uiPriority w:val="99"/>
    <w:rsid w:val="00967C36"/>
  </w:style>
  <w:style w:type="paragraph" w:styleId="ListParagraph">
    <w:name w:val="List Paragraph"/>
    <w:basedOn w:val="Normal"/>
    <w:uiPriority w:val="34"/>
    <w:qFormat/>
    <w:rsid w:val="001F7D25"/>
    <w:pPr>
      <w:ind w:left="720"/>
      <w:contextualSpacing/>
    </w:pPr>
  </w:style>
  <w:style w:type="table" w:styleId="TableGrid">
    <w:name w:val="Table Grid"/>
    <w:basedOn w:val="TableNormal"/>
    <w:uiPriority w:val="59"/>
    <w:rsid w:val="008B15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3">
    <w:name w:val="Medium List 2 Accent 3"/>
    <w:basedOn w:val="TableNormal"/>
    <w:uiPriority w:val="66"/>
    <w:rsid w:val="002978FA"/>
    <w:rPr>
      <w:rFonts w:asciiTheme="majorHAnsi" w:eastAsiaTheme="majorEastAsia" w:hAnsiTheme="majorHAnsi" w:cstheme="majorBidi"/>
      <w:color w:val="000000" w:themeColor="text1"/>
    </w:rPr>
    <w:tblPr>
      <w:tblStyleRowBandSize w:val="1"/>
      <w:tblStyleColBandSize w:val="1"/>
      <w:tblInd w:w="0" w:type="dxa"/>
      <w:tblBorders>
        <w:top w:val="single" w:sz="4" w:space="0" w:color="A2C037"/>
        <w:left w:val="single" w:sz="4" w:space="0" w:color="A2C037"/>
        <w:bottom w:val="single" w:sz="4" w:space="0" w:color="A2C037"/>
        <w:right w:val="single" w:sz="4" w:space="0" w:color="A2C037"/>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0367D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8D5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rsid w:val="008A3DD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
    <w:name w:val="Medium Grid 3 Accent 6"/>
    <w:basedOn w:val="TableNormal"/>
    <w:uiPriority w:val="69"/>
    <w:rsid w:val="00F104D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CommentReference">
    <w:name w:val="annotation reference"/>
    <w:basedOn w:val="DefaultParagraphFont"/>
    <w:uiPriority w:val="99"/>
    <w:semiHidden/>
    <w:unhideWhenUsed/>
    <w:rsid w:val="00DB5D10"/>
    <w:rPr>
      <w:sz w:val="16"/>
      <w:szCs w:val="16"/>
    </w:rPr>
  </w:style>
  <w:style w:type="paragraph" w:styleId="CommentText">
    <w:name w:val="annotation text"/>
    <w:basedOn w:val="Normal"/>
    <w:link w:val="CommentTextChar"/>
    <w:uiPriority w:val="99"/>
    <w:semiHidden/>
    <w:unhideWhenUsed/>
    <w:rsid w:val="00DB5D10"/>
    <w:rPr>
      <w:sz w:val="20"/>
      <w:szCs w:val="20"/>
    </w:rPr>
  </w:style>
  <w:style w:type="character" w:customStyle="1" w:styleId="CommentTextChar">
    <w:name w:val="Comment Text Char"/>
    <w:basedOn w:val="DefaultParagraphFont"/>
    <w:link w:val="CommentText"/>
    <w:uiPriority w:val="99"/>
    <w:semiHidden/>
    <w:rsid w:val="00DB5D10"/>
    <w:rPr>
      <w:sz w:val="20"/>
      <w:szCs w:val="20"/>
    </w:rPr>
  </w:style>
  <w:style w:type="paragraph" w:styleId="BalloonText">
    <w:name w:val="Balloon Text"/>
    <w:basedOn w:val="Normal"/>
    <w:link w:val="BalloonTextChar"/>
    <w:uiPriority w:val="99"/>
    <w:semiHidden/>
    <w:unhideWhenUsed/>
    <w:rsid w:val="00DB5D10"/>
    <w:rPr>
      <w:rFonts w:ascii="Tahoma" w:hAnsi="Tahoma" w:cs="Tahoma"/>
      <w:sz w:val="16"/>
      <w:szCs w:val="16"/>
    </w:rPr>
  </w:style>
  <w:style w:type="character" w:customStyle="1" w:styleId="BalloonTextChar">
    <w:name w:val="Balloon Text Char"/>
    <w:basedOn w:val="DefaultParagraphFont"/>
    <w:link w:val="BalloonText"/>
    <w:uiPriority w:val="99"/>
    <w:semiHidden/>
    <w:rsid w:val="00DB5D10"/>
    <w:rPr>
      <w:rFonts w:ascii="Tahoma" w:hAnsi="Tahoma" w:cs="Tahoma"/>
      <w:sz w:val="16"/>
      <w:szCs w:val="16"/>
    </w:rPr>
  </w:style>
  <w:style w:type="table" w:styleId="LightShading">
    <w:name w:val="Light Shading"/>
    <w:basedOn w:val="TableNormal"/>
    <w:uiPriority w:val="60"/>
    <w:rsid w:val="005B65D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9">
    <w:name w:val="Pa9"/>
    <w:basedOn w:val="Normal"/>
    <w:next w:val="Normal"/>
    <w:uiPriority w:val="99"/>
    <w:rsid w:val="00BC5DAD"/>
    <w:pPr>
      <w:autoSpaceDE w:val="0"/>
      <w:autoSpaceDN w:val="0"/>
      <w:adjustRightInd w:val="0"/>
      <w:spacing w:line="241" w:lineRule="atLeast"/>
    </w:pPr>
    <w:rPr>
      <w:rFonts w:ascii="GillSans Light" w:hAnsi="GillSans Light"/>
      <w:lang w:val="en-GB"/>
    </w:rPr>
  </w:style>
  <w:style w:type="paragraph" w:customStyle="1" w:styleId="Pa6">
    <w:name w:val="Pa6"/>
    <w:basedOn w:val="Normal"/>
    <w:next w:val="Normal"/>
    <w:uiPriority w:val="99"/>
    <w:rsid w:val="00BC5DAD"/>
    <w:pPr>
      <w:autoSpaceDE w:val="0"/>
      <w:autoSpaceDN w:val="0"/>
      <w:adjustRightInd w:val="0"/>
      <w:spacing w:line="241" w:lineRule="atLeast"/>
    </w:pPr>
    <w:rPr>
      <w:rFonts w:ascii="GillSans Light" w:hAnsi="GillSans Light"/>
      <w:lang w:val="en-GB"/>
    </w:rPr>
  </w:style>
  <w:style w:type="character" w:customStyle="1" w:styleId="A4">
    <w:name w:val="A4"/>
    <w:uiPriority w:val="99"/>
    <w:rsid w:val="00BC5DAD"/>
    <w:rPr>
      <w:rFonts w:cs="GillSans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5985">
      <w:bodyDiv w:val="1"/>
      <w:marLeft w:val="0"/>
      <w:marRight w:val="0"/>
      <w:marTop w:val="0"/>
      <w:marBottom w:val="0"/>
      <w:divBdr>
        <w:top w:val="none" w:sz="0" w:space="0" w:color="auto"/>
        <w:left w:val="none" w:sz="0" w:space="0" w:color="auto"/>
        <w:bottom w:val="none" w:sz="0" w:space="0" w:color="auto"/>
        <w:right w:val="none" w:sz="0" w:space="0" w:color="auto"/>
      </w:divBdr>
    </w:div>
    <w:div w:id="1278953115">
      <w:bodyDiv w:val="1"/>
      <w:marLeft w:val="0"/>
      <w:marRight w:val="0"/>
      <w:marTop w:val="0"/>
      <w:marBottom w:val="0"/>
      <w:divBdr>
        <w:top w:val="none" w:sz="0" w:space="0" w:color="auto"/>
        <w:left w:val="none" w:sz="0" w:space="0" w:color="auto"/>
        <w:bottom w:val="none" w:sz="0" w:space="0" w:color="auto"/>
        <w:right w:val="none" w:sz="0" w:space="0" w:color="auto"/>
      </w:divBdr>
    </w:div>
    <w:div w:id="1751342523">
      <w:bodyDiv w:val="1"/>
      <w:marLeft w:val="0"/>
      <w:marRight w:val="0"/>
      <w:marTop w:val="0"/>
      <w:marBottom w:val="0"/>
      <w:divBdr>
        <w:top w:val="none" w:sz="0" w:space="0" w:color="auto"/>
        <w:left w:val="none" w:sz="0" w:space="0" w:color="auto"/>
        <w:bottom w:val="none" w:sz="0" w:space="0" w:color="auto"/>
        <w:right w:val="none" w:sz="0" w:space="0" w:color="auto"/>
      </w:divBdr>
    </w:div>
    <w:div w:id="1802382771">
      <w:bodyDiv w:val="1"/>
      <w:marLeft w:val="0"/>
      <w:marRight w:val="0"/>
      <w:marTop w:val="0"/>
      <w:marBottom w:val="0"/>
      <w:divBdr>
        <w:top w:val="none" w:sz="0" w:space="0" w:color="auto"/>
        <w:left w:val="none" w:sz="0" w:space="0" w:color="auto"/>
        <w:bottom w:val="none" w:sz="0" w:space="0" w:color="auto"/>
        <w:right w:val="none" w:sz="0" w:space="0" w:color="auto"/>
      </w:divBdr>
    </w:div>
    <w:div w:id="1851597564">
      <w:bodyDiv w:val="1"/>
      <w:marLeft w:val="0"/>
      <w:marRight w:val="0"/>
      <w:marTop w:val="0"/>
      <w:marBottom w:val="0"/>
      <w:divBdr>
        <w:top w:val="none" w:sz="0" w:space="0" w:color="auto"/>
        <w:left w:val="none" w:sz="0" w:space="0" w:color="auto"/>
        <w:bottom w:val="none" w:sz="0" w:space="0" w:color="auto"/>
        <w:right w:val="none" w:sz="0" w:space="0" w:color="auto"/>
      </w:divBdr>
      <w:divsChild>
        <w:div w:id="842864224">
          <w:marLeft w:val="0"/>
          <w:marRight w:val="0"/>
          <w:marTop w:val="0"/>
          <w:marBottom w:val="0"/>
          <w:divBdr>
            <w:top w:val="none" w:sz="0" w:space="0" w:color="auto"/>
            <w:left w:val="none" w:sz="0" w:space="0" w:color="auto"/>
            <w:bottom w:val="none" w:sz="0" w:space="0" w:color="auto"/>
            <w:right w:val="none" w:sz="0" w:space="0" w:color="auto"/>
          </w:divBdr>
          <w:divsChild>
            <w:div w:id="959844905">
              <w:marLeft w:val="0"/>
              <w:marRight w:val="0"/>
              <w:marTop w:val="150"/>
              <w:marBottom w:val="0"/>
              <w:divBdr>
                <w:top w:val="none" w:sz="0" w:space="0" w:color="auto"/>
                <w:left w:val="none" w:sz="0" w:space="0" w:color="auto"/>
                <w:bottom w:val="none" w:sz="0" w:space="0" w:color="auto"/>
                <w:right w:val="none" w:sz="0" w:space="0" w:color="auto"/>
              </w:divBdr>
              <w:divsChild>
                <w:div w:id="218563609">
                  <w:marLeft w:val="3300"/>
                  <w:marRight w:val="0"/>
                  <w:marTop w:val="0"/>
                  <w:marBottom w:val="0"/>
                  <w:divBdr>
                    <w:top w:val="none" w:sz="0" w:space="0" w:color="auto"/>
                    <w:left w:val="none" w:sz="0" w:space="0" w:color="auto"/>
                    <w:bottom w:val="none" w:sz="0" w:space="0" w:color="auto"/>
                    <w:right w:val="none" w:sz="0" w:space="0" w:color="auto"/>
                  </w:divBdr>
                  <w:divsChild>
                    <w:div w:id="560285965">
                      <w:marLeft w:val="0"/>
                      <w:marRight w:val="0"/>
                      <w:marTop w:val="0"/>
                      <w:marBottom w:val="0"/>
                      <w:divBdr>
                        <w:top w:val="single" w:sz="6" w:space="7" w:color="A8A8A8"/>
                        <w:left w:val="single" w:sz="2" w:space="14" w:color="A8A8A8"/>
                        <w:bottom w:val="single" w:sz="6" w:space="7" w:color="A8A8A8"/>
                        <w:right w:val="single" w:sz="2" w:space="14" w:color="A8A8A8"/>
                      </w:divBdr>
                      <w:divsChild>
                        <w:div w:id="1612516877">
                          <w:marLeft w:val="0"/>
                          <w:marRight w:val="0"/>
                          <w:marTop w:val="0"/>
                          <w:marBottom w:val="0"/>
                          <w:divBdr>
                            <w:top w:val="none" w:sz="0" w:space="0" w:color="auto"/>
                            <w:left w:val="none" w:sz="0" w:space="0" w:color="auto"/>
                            <w:bottom w:val="none" w:sz="0" w:space="0" w:color="auto"/>
                            <w:right w:val="none" w:sz="0" w:space="0" w:color="auto"/>
                          </w:divBdr>
                          <w:divsChild>
                            <w:div w:id="1971200829">
                              <w:marLeft w:val="0"/>
                              <w:marRight w:val="0"/>
                              <w:marTop w:val="0"/>
                              <w:marBottom w:val="0"/>
                              <w:divBdr>
                                <w:top w:val="none" w:sz="0" w:space="0" w:color="auto"/>
                                <w:left w:val="none" w:sz="0" w:space="0" w:color="auto"/>
                                <w:bottom w:val="none" w:sz="0" w:space="0" w:color="auto"/>
                                <w:right w:val="none" w:sz="0" w:space="0" w:color="auto"/>
                              </w:divBdr>
                              <w:divsChild>
                                <w:div w:id="1011907452">
                                  <w:marLeft w:val="0"/>
                                  <w:marRight w:val="0"/>
                                  <w:marTop w:val="0"/>
                                  <w:marBottom w:val="0"/>
                                  <w:divBdr>
                                    <w:top w:val="none" w:sz="0" w:space="0" w:color="auto"/>
                                    <w:left w:val="none" w:sz="0" w:space="0" w:color="auto"/>
                                    <w:bottom w:val="none" w:sz="0" w:space="0" w:color="auto"/>
                                    <w:right w:val="none" w:sz="0" w:space="0" w:color="auto"/>
                                  </w:divBdr>
                                  <w:divsChild>
                                    <w:div w:id="21117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76680">
      <w:bodyDiv w:val="1"/>
      <w:marLeft w:val="0"/>
      <w:marRight w:val="0"/>
      <w:marTop w:val="0"/>
      <w:marBottom w:val="0"/>
      <w:divBdr>
        <w:top w:val="none" w:sz="0" w:space="0" w:color="auto"/>
        <w:left w:val="none" w:sz="0" w:space="0" w:color="auto"/>
        <w:bottom w:val="none" w:sz="0" w:space="0" w:color="auto"/>
        <w:right w:val="none" w:sz="0" w:space="0" w:color="auto"/>
      </w:divBdr>
    </w:div>
    <w:div w:id="213628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AS01\Human%20Resources\Denise\Equality%20&amp;%20Diversity%20Reports\Data%20Jan%2011%20Repor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AS01\Human%20Resources\Denise\Equality%20&amp;%20Diversity%20Reports\Data%20Jan%2011%20Repor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AS01\Human%20Resources\Denise\Equality%20&amp;%20Diversity%20Reports\Data%20Jan%2011%20Repor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AS01\Human%20Resources\Denise\Equality%20&amp;%20Diversity%20Reports\Data%20Jan%2011%20Repor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NAS01\Human%20Resources\Denise\Equality%20&amp;%20Diversity%20Reports\Data%20Jan%2011%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opy%20of%20Recruitment%20Data%20Jan%2011%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'1'!$G$10</c:f>
              <c:strCache>
                <c:ptCount val="1"/>
                <c:pt idx="0">
                  <c:v>Total Submitted</c:v>
                </c:pt>
              </c:strCache>
            </c:strRef>
          </c:tx>
          <c:invertIfNegative val="0"/>
          <c:cat>
            <c:strRef>
              <c:f>'1'!$F$11:$F$12</c:f>
              <c:strCache>
                <c:ptCount val="2"/>
                <c:pt idx="0">
                  <c:v>Did not declare a disability</c:v>
                </c:pt>
                <c:pt idx="1">
                  <c:v>Declaring a disability</c:v>
                </c:pt>
              </c:strCache>
            </c:strRef>
          </c:cat>
          <c:val>
            <c:numRef>
              <c:f>'1'!$G$11:$G$12</c:f>
              <c:numCache>
                <c:formatCode>0.0%</c:formatCode>
                <c:ptCount val="2"/>
                <c:pt idx="0">
                  <c:v>0.9563567362428842</c:v>
                </c:pt>
                <c:pt idx="1">
                  <c:v>4.3643263757115747E-2</c:v>
                </c:pt>
              </c:numCache>
            </c:numRef>
          </c:val>
        </c:ser>
        <c:ser>
          <c:idx val="1"/>
          <c:order val="1"/>
          <c:tx>
            <c:strRef>
              <c:f>'1'!$H$10</c:f>
              <c:strCache>
                <c:ptCount val="1"/>
                <c:pt idx="0">
                  <c:v>Total Shortlisted</c:v>
                </c:pt>
              </c:strCache>
            </c:strRef>
          </c:tx>
          <c:invertIfNegative val="0"/>
          <c:cat>
            <c:strRef>
              <c:f>'1'!$F$11:$F$12</c:f>
              <c:strCache>
                <c:ptCount val="2"/>
                <c:pt idx="0">
                  <c:v>Did not declare a disability</c:v>
                </c:pt>
                <c:pt idx="1">
                  <c:v>Declaring a disability</c:v>
                </c:pt>
              </c:strCache>
            </c:strRef>
          </c:cat>
          <c:val>
            <c:numRef>
              <c:f>'1'!$H$11:$H$12</c:f>
              <c:numCache>
                <c:formatCode>0.0%</c:formatCode>
                <c:ptCount val="2"/>
                <c:pt idx="0">
                  <c:v>0.96694214876033058</c:v>
                </c:pt>
                <c:pt idx="1">
                  <c:v>3.3057851239669422E-2</c:v>
                </c:pt>
              </c:numCache>
            </c:numRef>
          </c:val>
        </c:ser>
        <c:ser>
          <c:idx val="2"/>
          <c:order val="2"/>
          <c:tx>
            <c:strRef>
              <c:f>'1'!$I$10</c:f>
              <c:strCache>
                <c:ptCount val="1"/>
                <c:pt idx="0">
                  <c:v>Total Successful</c:v>
                </c:pt>
              </c:strCache>
            </c:strRef>
          </c:tx>
          <c:invertIfNegative val="0"/>
          <c:cat>
            <c:strRef>
              <c:f>'1'!$F$11:$F$12</c:f>
              <c:strCache>
                <c:ptCount val="2"/>
                <c:pt idx="0">
                  <c:v>Did not declare a disability</c:v>
                </c:pt>
                <c:pt idx="1">
                  <c:v>Declaring a disability</c:v>
                </c:pt>
              </c:strCache>
            </c:strRef>
          </c:cat>
          <c:val>
            <c:numRef>
              <c:f>'1'!$I$11:$I$12</c:f>
              <c:numCache>
                <c:formatCode>0.0%</c:formatCode>
                <c:ptCount val="2"/>
                <c:pt idx="0">
                  <c:v>0.93442622950819676</c:v>
                </c:pt>
                <c:pt idx="1">
                  <c:v>6.5573770491803282E-2</c:v>
                </c:pt>
              </c:numCache>
            </c:numRef>
          </c:val>
        </c:ser>
        <c:dLbls>
          <c:showLegendKey val="0"/>
          <c:showVal val="0"/>
          <c:showCatName val="0"/>
          <c:showSerName val="0"/>
          <c:showPercent val="0"/>
          <c:showBubbleSize val="0"/>
        </c:dLbls>
        <c:gapWidth val="150"/>
        <c:axId val="73283072"/>
        <c:axId val="73284608"/>
      </c:barChart>
      <c:catAx>
        <c:axId val="73283072"/>
        <c:scaling>
          <c:orientation val="minMax"/>
        </c:scaling>
        <c:delete val="0"/>
        <c:axPos val="b"/>
        <c:majorTickMark val="out"/>
        <c:minorTickMark val="none"/>
        <c:tickLblPos val="nextTo"/>
        <c:crossAx val="73284608"/>
        <c:crosses val="autoZero"/>
        <c:auto val="1"/>
        <c:lblAlgn val="ctr"/>
        <c:lblOffset val="100"/>
        <c:noMultiLvlLbl val="0"/>
      </c:catAx>
      <c:valAx>
        <c:axId val="73284608"/>
        <c:scaling>
          <c:orientation val="minMax"/>
          <c:max val="1"/>
        </c:scaling>
        <c:delete val="0"/>
        <c:axPos val="l"/>
        <c:majorGridlines/>
        <c:numFmt formatCode="0.0%" sourceLinked="1"/>
        <c:majorTickMark val="out"/>
        <c:minorTickMark val="none"/>
        <c:tickLblPos val="nextTo"/>
        <c:crossAx val="732830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'2.2-2.5'!$A$84</c:f>
              <c:strCache>
                <c:ptCount val="1"/>
                <c:pt idx="0">
                  <c:v>2006-07</c:v>
                </c:pt>
              </c:strCache>
            </c:strRef>
          </c:tx>
          <c:invertIfNegative val="0"/>
          <c:cat>
            <c:strRef>
              <c:f>'2.2-2.5'!$B$83:$C$83</c:f>
              <c:strCache>
                <c:ptCount val="2"/>
                <c:pt idx="0">
                  <c:v>Female</c:v>
                </c:pt>
                <c:pt idx="1">
                  <c:v>Male</c:v>
                </c:pt>
              </c:strCache>
            </c:strRef>
          </c:cat>
          <c:val>
            <c:numRef>
              <c:f>'2.2-2.5'!$B$84:$C$84</c:f>
            </c:numRef>
          </c:val>
        </c:ser>
        <c:ser>
          <c:idx val="1"/>
          <c:order val="1"/>
          <c:tx>
            <c:strRef>
              <c:f>'2.2-2.5'!$A$85</c:f>
              <c:strCache>
                <c:ptCount val="1"/>
                <c:pt idx="0">
                  <c:v>2007-08</c:v>
                </c:pt>
              </c:strCache>
            </c:strRef>
          </c:tx>
          <c:invertIfNegative val="0"/>
          <c:cat>
            <c:strRef>
              <c:f>'2.2-2.5'!$B$83:$C$83</c:f>
              <c:strCache>
                <c:ptCount val="2"/>
                <c:pt idx="0">
                  <c:v>Female</c:v>
                </c:pt>
                <c:pt idx="1">
                  <c:v>Male</c:v>
                </c:pt>
              </c:strCache>
            </c:strRef>
          </c:cat>
          <c:val>
            <c:numRef>
              <c:f>'2.2-2.5'!$B$85:$C$85</c:f>
            </c:numRef>
          </c:val>
        </c:ser>
        <c:ser>
          <c:idx val="2"/>
          <c:order val="2"/>
          <c:tx>
            <c:strRef>
              <c:f>'2.2-2.5'!$A$86</c:f>
              <c:strCache>
                <c:ptCount val="1"/>
                <c:pt idx="0">
                  <c:v>2008-09</c:v>
                </c:pt>
              </c:strCache>
            </c:strRef>
          </c:tx>
          <c:invertIfNegative val="0"/>
          <c:cat>
            <c:strRef>
              <c:f>'2.2-2.5'!$B$83:$C$83</c:f>
              <c:strCache>
                <c:ptCount val="2"/>
                <c:pt idx="0">
                  <c:v>Female</c:v>
                </c:pt>
                <c:pt idx="1">
                  <c:v>Male</c:v>
                </c:pt>
              </c:strCache>
            </c:strRef>
          </c:cat>
          <c:val>
            <c:numRef>
              <c:f>'2.2-2.5'!$B$86:$C$86</c:f>
              <c:numCache>
                <c:formatCode>0</c:formatCode>
                <c:ptCount val="2"/>
                <c:pt idx="0">
                  <c:v>755.83333333333337</c:v>
                </c:pt>
                <c:pt idx="1">
                  <c:v>468.25</c:v>
                </c:pt>
              </c:numCache>
            </c:numRef>
          </c:val>
        </c:ser>
        <c:ser>
          <c:idx val="3"/>
          <c:order val="3"/>
          <c:tx>
            <c:strRef>
              <c:f>'2.2-2.5'!$A$87</c:f>
              <c:strCache>
                <c:ptCount val="1"/>
                <c:pt idx="0">
                  <c:v>2009-10</c:v>
                </c:pt>
              </c:strCache>
            </c:strRef>
          </c:tx>
          <c:invertIfNegative val="0"/>
          <c:cat>
            <c:strRef>
              <c:f>'2.2-2.5'!$B$83:$C$83</c:f>
              <c:strCache>
                <c:ptCount val="2"/>
                <c:pt idx="0">
                  <c:v>Female</c:v>
                </c:pt>
                <c:pt idx="1">
                  <c:v>Male</c:v>
                </c:pt>
              </c:strCache>
            </c:strRef>
          </c:cat>
          <c:val>
            <c:numRef>
              <c:f>'2.2-2.5'!$B$87:$C$87</c:f>
              <c:numCache>
                <c:formatCode>0</c:formatCode>
                <c:ptCount val="2"/>
                <c:pt idx="0">
                  <c:v>679</c:v>
                </c:pt>
                <c:pt idx="1">
                  <c:v>410</c:v>
                </c:pt>
              </c:numCache>
            </c:numRef>
          </c:val>
        </c:ser>
        <c:ser>
          <c:idx val="4"/>
          <c:order val="4"/>
          <c:tx>
            <c:strRef>
              <c:f>'2.2-2.5'!$A$88</c:f>
              <c:strCache>
                <c:ptCount val="1"/>
                <c:pt idx="0">
                  <c:v>2010-11</c:v>
                </c:pt>
              </c:strCache>
            </c:strRef>
          </c:tx>
          <c:invertIfNegative val="0"/>
          <c:cat>
            <c:strRef>
              <c:f>'2.2-2.5'!$B$83:$C$83</c:f>
              <c:strCache>
                <c:ptCount val="2"/>
                <c:pt idx="0">
                  <c:v>Female</c:v>
                </c:pt>
                <c:pt idx="1">
                  <c:v>Male</c:v>
                </c:pt>
              </c:strCache>
            </c:strRef>
          </c:cat>
          <c:val>
            <c:numRef>
              <c:f>'2.2-2.5'!$B$88:$C$88</c:f>
              <c:numCache>
                <c:formatCode>0</c:formatCode>
                <c:ptCount val="2"/>
                <c:pt idx="0">
                  <c:v>682</c:v>
                </c:pt>
                <c:pt idx="1">
                  <c:v>394</c:v>
                </c:pt>
              </c:numCache>
            </c:numRef>
          </c:val>
        </c:ser>
        <c:dLbls>
          <c:showLegendKey val="0"/>
          <c:showVal val="0"/>
          <c:showCatName val="0"/>
          <c:showSerName val="0"/>
          <c:showPercent val="0"/>
          <c:showBubbleSize val="0"/>
        </c:dLbls>
        <c:gapWidth val="150"/>
        <c:axId val="79958784"/>
        <c:axId val="79960320"/>
      </c:barChart>
      <c:catAx>
        <c:axId val="79958784"/>
        <c:scaling>
          <c:orientation val="minMax"/>
        </c:scaling>
        <c:delete val="0"/>
        <c:axPos val="b"/>
        <c:majorTickMark val="out"/>
        <c:minorTickMark val="none"/>
        <c:tickLblPos val="nextTo"/>
        <c:crossAx val="79960320"/>
        <c:crosses val="autoZero"/>
        <c:auto val="1"/>
        <c:lblAlgn val="ctr"/>
        <c:lblOffset val="100"/>
        <c:noMultiLvlLbl val="0"/>
      </c:catAx>
      <c:valAx>
        <c:axId val="79960320"/>
        <c:scaling>
          <c:orientation val="minMax"/>
        </c:scaling>
        <c:delete val="0"/>
        <c:axPos val="l"/>
        <c:majorGridlines/>
        <c:numFmt formatCode="0" sourceLinked="1"/>
        <c:majorTickMark val="out"/>
        <c:minorTickMark val="none"/>
        <c:tickLblPos val="nextTo"/>
        <c:crossAx val="799587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'3'!$J$2</c:f>
              <c:strCache>
                <c:ptCount val="1"/>
                <c:pt idx="0">
                  <c:v>Workforce</c:v>
                </c:pt>
              </c:strCache>
            </c:strRef>
          </c:tx>
          <c:invertIfNegative val="0"/>
          <c:cat>
            <c:strRef>
              <c:f>'3'!$K$1:$M$1</c:f>
              <c:strCache>
                <c:ptCount val="3"/>
                <c:pt idx="0">
                  <c:v>Registered Disabled</c:v>
                </c:pt>
                <c:pt idx="1">
                  <c:v>Not Registered Disabled</c:v>
                </c:pt>
                <c:pt idx="2">
                  <c:v>Undisclosed</c:v>
                </c:pt>
              </c:strCache>
            </c:strRef>
          </c:cat>
          <c:val>
            <c:numRef>
              <c:f>'3'!$K$2:$M$2</c:f>
              <c:numCache>
                <c:formatCode>0.0%</c:formatCode>
                <c:ptCount val="3"/>
                <c:pt idx="0">
                  <c:v>3.9962825278810406E-2</c:v>
                </c:pt>
                <c:pt idx="1">
                  <c:v>0.92657992565055758</c:v>
                </c:pt>
                <c:pt idx="2">
                  <c:v>3.3457249070631967E-2</c:v>
                </c:pt>
              </c:numCache>
            </c:numRef>
          </c:val>
        </c:ser>
        <c:ser>
          <c:idx val="1"/>
          <c:order val="1"/>
          <c:tx>
            <c:strRef>
              <c:f>'3'!$J$3</c:f>
              <c:strCache>
                <c:ptCount val="1"/>
                <c:pt idx="0">
                  <c:v>Leavers</c:v>
                </c:pt>
              </c:strCache>
            </c:strRef>
          </c:tx>
          <c:invertIfNegative val="0"/>
          <c:cat>
            <c:strRef>
              <c:f>'3'!$K$1:$M$1</c:f>
              <c:strCache>
                <c:ptCount val="3"/>
                <c:pt idx="0">
                  <c:v>Registered Disabled</c:v>
                </c:pt>
                <c:pt idx="1">
                  <c:v>Not Registered Disabled</c:v>
                </c:pt>
                <c:pt idx="2">
                  <c:v>Undisclosed</c:v>
                </c:pt>
              </c:strCache>
            </c:strRef>
          </c:cat>
          <c:val>
            <c:numRef>
              <c:f>'3'!$K$3:$M$3</c:f>
              <c:numCache>
                <c:formatCode>0.0%</c:formatCode>
                <c:ptCount val="3"/>
                <c:pt idx="0">
                  <c:v>7.0588235294117646E-2</c:v>
                </c:pt>
                <c:pt idx="1">
                  <c:v>0.82352941176470584</c:v>
                </c:pt>
                <c:pt idx="2">
                  <c:v>0.10588235294117647</c:v>
                </c:pt>
              </c:numCache>
            </c:numRef>
          </c:val>
        </c:ser>
        <c:dLbls>
          <c:showLegendKey val="0"/>
          <c:showVal val="0"/>
          <c:showCatName val="0"/>
          <c:showSerName val="0"/>
          <c:showPercent val="0"/>
          <c:showBubbleSize val="0"/>
        </c:dLbls>
        <c:gapWidth val="150"/>
        <c:axId val="79972992"/>
        <c:axId val="79987072"/>
      </c:barChart>
      <c:catAx>
        <c:axId val="79972992"/>
        <c:scaling>
          <c:orientation val="minMax"/>
        </c:scaling>
        <c:delete val="0"/>
        <c:axPos val="b"/>
        <c:majorTickMark val="out"/>
        <c:minorTickMark val="none"/>
        <c:tickLblPos val="nextTo"/>
        <c:crossAx val="79987072"/>
        <c:crosses val="autoZero"/>
        <c:auto val="1"/>
        <c:lblAlgn val="ctr"/>
        <c:lblOffset val="100"/>
        <c:noMultiLvlLbl val="0"/>
      </c:catAx>
      <c:valAx>
        <c:axId val="79987072"/>
        <c:scaling>
          <c:orientation val="minMax"/>
        </c:scaling>
        <c:delete val="0"/>
        <c:axPos val="l"/>
        <c:majorGridlines/>
        <c:numFmt formatCode="0.0%" sourceLinked="1"/>
        <c:majorTickMark val="out"/>
        <c:minorTickMark val="none"/>
        <c:tickLblPos val="nextTo"/>
        <c:crossAx val="799729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'3'!$J$6</c:f>
              <c:strCache>
                <c:ptCount val="1"/>
                <c:pt idx="0">
                  <c:v>Workforce</c:v>
                </c:pt>
              </c:strCache>
            </c:strRef>
          </c:tx>
          <c:invertIfNegative val="0"/>
          <c:cat>
            <c:strRef>
              <c:f>'3'!$K$5:$M$5</c:f>
              <c:strCache>
                <c:ptCount val="3"/>
                <c:pt idx="0">
                  <c:v>White British</c:v>
                </c:pt>
                <c:pt idx="1">
                  <c:v>BME</c:v>
                </c:pt>
                <c:pt idx="2">
                  <c:v>Undisclosed</c:v>
                </c:pt>
              </c:strCache>
            </c:strRef>
          </c:cat>
          <c:val>
            <c:numRef>
              <c:f>'3'!$K$6:$M$6</c:f>
              <c:numCache>
                <c:formatCode>0.0%</c:formatCode>
                <c:ptCount val="3"/>
                <c:pt idx="0">
                  <c:v>0.93773234200743494</c:v>
                </c:pt>
                <c:pt idx="1">
                  <c:v>5.2973977695167283E-2</c:v>
                </c:pt>
                <c:pt idx="2">
                  <c:v>9.2936802973977699E-3</c:v>
                </c:pt>
              </c:numCache>
            </c:numRef>
          </c:val>
        </c:ser>
        <c:ser>
          <c:idx val="1"/>
          <c:order val="1"/>
          <c:tx>
            <c:strRef>
              <c:f>'3'!$J$7</c:f>
              <c:strCache>
                <c:ptCount val="1"/>
                <c:pt idx="0">
                  <c:v>Leavers</c:v>
                </c:pt>
              </c:strCache>
            </c:strRef>
          </c:tx>
          <c:invertIfNegative val="0"/>
          <c:cat>
            <c:strRef>
              <c:f>'3'!$K$5:$M$5</c:f>
              <c:strCache>
                <c:ptCount val="3"/>
                <c:pt idx="0">
                  <c:v>White British</c:v>
                </c:pt>
                <c:pt idx="1">
                  <c:v>BME</c:v>
                </c:pt>
                <c:pt idx="2">
                  <c:v>Undisclosed</c:v>
                </c:pt>
              </c:strCache>
            </c:strRef>
          </c:cat>
          <c:val>
            <c:numRef>
              <c:f>'3'!$K$7:$M$7</c:f>
              <c:numCache>
                <c:formatCode>0.0%</c:formatCode>
                <c:ptCount val="3"/>
                <c:pt idx="0">
                  <c:v>0.87647058823529411</c:v>
                </c:pt>
                <c:pt idx="1">
                  <c:v>9.4117647058823528E-2</c:v>
                </c:pt>
                <c:pt idx="2">
                  <c:v>2.9411764705882353E-2</c:v>
                </c:pt>
              </c:numCache>
            </c:numRef>
          </c:val>
        </c:ser>
        <c:dLbls>
          <c:showLegendKey val="0"/>
          <c:showVal val="0"/>
          <c:showCatName val="0"/>
          <c:showSerName val="0"/>
          <c:showPercent val="0"/>
          <c:showBubbleSize val="0"/>
        </c:dLbls>
        <c:gapWidth val="150"/>
        <c:axId val="80008320"/>
        <c:axId val="80009856"/>
      </c:barChart>
      <c:catAx>
        <c:axId val="80008320"/>
        <c:scaling>
          <c:orientation val="minMax"/>
        </c:scaling>
        <c:delete val="0"/>
        <c:axPos val="b"/>
        <c:majorTickMark val="out"/>
        <c:minorTickMark val="none"/>
        <c:tickLblPos val="nextTo"/>
        <c:crossAx val="80009856"/>
        <c:crosses val="autoZero"/>
        <c:auto val="1"/>
        <c:lblAlgn val="ctr"/>
        <c:lblOffset val="100"/>
        <c:noMultiLvlLbl val="0"/>
      </c:catAx>
      <c:valAx>
        <c:axId val="80009856"/>
        <c:scaling>
          <c:orientation val="minMax"/>
        </c:scaling>
        <c:delete val="0"/>
        <c:axPos val="l"/>
        <c:majorGridlines/>
        <c:numFmt formatCode="0.0%" sourceLinked="1"/>
        <c:majorTickMark val="out"/>
        <c:minorTickMark val="none"/>
        <c:tickLblPos val="nextTo"/>
        <c:crossAx val="800083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'3'!$J$10</c:f>
              <c:strCache>
                <c:ptCount val="1"/>
                <c:pt idx="0">
                  <c:v>Workforce</c:v>
                </c:pt>
              </c:strCache>
            </c:strRef>
          </c:tx>
          <c:invertIfNegative val="0"/>
          <c:cat>
            <c:strRef>
              <c:f>'3'!$K$9:$P$9</c:f>
              <c:strCache>
                <c:ptCount val="6"/>
                <c:pt idx="0">
                  <c:v>16 to 20</c:v>
                </c:pt>
                <c:pt idx="1">
                  <c:v>21 to 35</c:v>
                </c:pt>
                <c:pt idx="2">
                  <c:v>36 to 45</c:v>
                </c:pt>
                <c:pt idx="3">
                  <c:v>46 to 55</c:v>
                </c:pt>
                <c:pt idx="4">
                  <c:v>56 to 65</c:v>
                </c:pt>
                <c:pt idx="5">
                  <c:v>66 and over</c:v>
                </c:pt>
              </c:strCache>
            </c:strRef>
          </c:cat>
          <c:val>
            <c:numRef>
              <c:f>'3'!$K$10:$P$10</c:f>
              <c:numCache>
                <c:formatCode>0.0%</c:formatCode>
                <c:ptCount val="6"/>
                <c:pt idx="0">
                  <c:v>1.756007393715342E-2</c:v>
                </c:pt>
                <c:pt idx="1">
                  <c:v>0.30314232902033272</c:v>
                </c:pt>
                <c:pt idx="2">
                  <c:v>0.2356746765249538</c:v>
                </c:pt>
                <c:pt idx="3">
                  <c:v>0.2735674676524954</c:v>
                </c:pt>
                <c:pt idx="4">
                  <c:v>0.15249537892791126</c:v>
                </c:pt>
                <c:pt idx="5">
                  <c:v>1.756007393715342E-2</c:v>
                </c:pt>
              </c:numCache>
            </c:numRef>
          </c:val>
        </c:ser>
        <c:ser>
          <c:idx val="1"/>
          <c:order val="1"/>
          <c:tx>
            <c:strRef>
              <c:f>'3'!$J$11</c:f>
              <c:strCache>
                <c:ptCount val="1"/>
                <c:pt idx="0">
                  <c:v>Leavers</c:v>
                </c:pt>
              </c:strCache>
            </c:strRef>
          </c:tx>
          <c:invertIfNegative val="0"/>
          <c:cat>
            <c:strRef>
              <c:f>'3'!$K$9:$P$9</c:f>
              <c:strCache>
                <c:ptCount val="6"/>
                <c:pt idx="0">
                  <c:v>16 to 20</c:v>
                </c:pt>
                <c:pt idx="1">
                  <c:v>21 to 35</c:v>
                </c:pt>
                <c:pt idx="2">
                  <c:v>36 to 45</c:v>
                </c:pt>
                <c:pt idx="3">
                  <c:v>46 to 55</c:v>
                </c:pt>
                <c:pt idx="4">
                  <c:v>56 to 65</c:v>
                </c:pt>
                <c:pt idx="5">
                  <c:v>66 and over</c:v>
                </c:pt>
              </c:strCache>
            </c:strRef>
          </c:cat>
          <c:val>
            <c:numRef>
              <c:f>'3'!$K$11:$P$11</c:f>
              <c:numCache>
                <c:formatCode>0.0%</c:formatCode>
                <c:ptCount val="6"/>
                <c:pt idx="0">
                  <c:v>5.2941176470588235E-2</c:v>
                </c:pt>
                <c:pt idx="1">
                  <c:v>0.25294117647058822</c:v>
                </c:pt>
                <c:pt idx="2">
                  <c:v>0.21176470588235294</c:v>
                </c:pt>
                <c:pt idx="3">
                  <c:v>0.25882352941176473</c:v>
                </c:pt>
                <c:pt idx="4">
                  <c:v>0.2</c:v>
                </c:pt>
                <c:pt idx="5">
                  <c:v>2.3529411764705882E-2</c:v>
                </c:pt>
              </c:numCache>
            </c:numRef>
          </c:val>
        </c:ser>
        <c:dLbls>
          <c:showLegendKey val="0"/>
          <c:showVal val="0"/>
          <c:showCatName val="0"/>
          <c:showSerName val="0"/>
          <c:showPercent val="0"/>
          <c:showBubbleSize val="0"/>
        </c:dLbls>
        <c:gapWidth val="150"/>
        <c:axId val="80038912"/>
        <c:axId val="80044800"/>
      </c:barChart>
      <c:catAx>
        <c:axId val="80038912"/>
        <c:scaling>
          <c:orientation val="minMax"/>
        </c:scaling>
        <c:delete val="0"/>
        <c:axPos val="b"/>
        <c:majorTickMark val="out"/>
        <c:minorTickMark val="none"/>
        <c:tickLblPos val="nextTo"/>
        <c:crossAx val="80044800"/>
        <c:crosses val="autoZero"/>
        <c:auto val="1"/>
        <c:lblAlgn val="ctr"/>
        <c:lblOffset val="100"/>
        <c:noMultiLvlLbl val="0"/>
      </c:catAx>
      <c:valAx>
        <c:axId val="80044800"/>
        <c:scaling>
          <c:orientation val="minMax"/>
        </c:scaling>
        <c:delete val="0"/>
        <c:axPos val="l"/>
        <c:majorGridlines/>
        <c:numFmt formatCode="0.0%" sourceLinked="1"/>
        <c:majorTickMark val="out"/>
        <c:minorTickMark val="none"/>
        <c:tickLblPos val="nextTo"/>
        <c:crossAx val="800389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'3'!$J$15</c:f>
              <c:strCache>
                <c:ptCount val="1"/>
                <c:pt idx="0">
                  <c:v>Workforce</c:v>
                </c:pt>
              </c:strCache>
            </c:strRef>
          </c:tx>
          <c:invertIfNegative val="0"/>
          <c:cat>
            <c:strRef>
              <c:f>'3'!$K$14:$L$14</c:f>
              <c:strCache>
                <c:ptCount val="2"/>
                <c:pt idx="0">
                  <c:v>Female</c:v>
                </c:pt>
                <c:pt idx="1">
                  <c:v>Male</c:v>
                </c:pt>
              </c:strCache>
            </c:strRef>
          </c:cat>
          <c:val>
            <c:numRef>
              <c:f>'3'!$K$15:$L$15</c:f>
              <c:numCache>
                <c:formatCode>0.0%</c:formatCode>
                <c:ptCount val="2"/>
                <c:pt idx="0">
                  <c:v>0.63382899628252787</c:v>
                </c:pt>
                <c:pt idx="1">
                  <c:v>0.36617100371747213</c:v>
                </c:pt>
              </c:numCache>
            </c:numRef>
          </c:val>
        </c:ser>
        <c:ser>
          <c:idx val="1"/>
          <c:order val="1"/>
          <c:tx>
            <c:strRef>
              <c:f>'3'!$J$16</c:f>
              <c:strCache>
                <c:ptCount val="1"/>
                <c:pt idx="0">
                  <c:v>Leavers</c:v>
                </c:pt>
              </c:strCache>
            </c:strRef>
          </c:tx>
          <c:invertIfNegative val="0"/>
          <c:cat>
            <c:strRef>
              <c:f>'3'!$K$14:$L$14</c:f>
              <c:strCache>
                <c:ptCount val="2"/>
                <c:pt idx="0">
                  <c:v>Female</c:v>
                </c:pt>
                <c:pt idx="1">
                  <c:v>Male</c:v>
                </c:pt>
              </c:strCache>
            </c:strRef>
          </c:cat>
          <c:val>
            <c:numRef>
              <c:f>'3'!$K$16:$L$16</c:f>
              <c:numCache>
                <c:formatCode>0.0%</c:formatCode>
                <c:ptCount val="2"/>
                <c:pt idx="0">
                  <c:v>0.60588235294117643</c:v>
                </c:pt>
                <c:pt idx="1">
                  <c:v>0.39411764705882352</c:v>
                </c:pt>
              </c:numCache>
            </c:numRef>
          </c:val>
        </c:ser>
        <c:dLbls>
          <c:showLegendKey val="0"/>
          <c:showVal val="0"/>
          <c:showCatName val="0"/>
          <c:showSerName val="0"/>
          <c:showPercent val="0"/>
          <c:showBubbleSize val="0"/>
        </c:dLbls>
        <c:gapWidth val="150"/>
        <c:axId val="80082048"/>
        <c:axId val="80083584"/>
      </c:barChart>
      <c:catAx>
        <c:axId val="80082048"/>
        <c:scaling>
          <c:orientation val="minMax"/>
        </c:scaling>
        <c:delete val="0"/>
        <c:axPos val="b"/>
        <c:majorTickMark val="out"/>
        <c:minorTickMark val="none"/>
        <c:tickLblPos val="nextTo"/>
        <c:crossAx val="80083584"/>
        <c:crosses val="autoZero"/>
        <c:auto val="1"/>
        <c:lblAlgn val="ctr"/>
        <c:lblOffset val="100"/>
        <c:noMultiLvlLbl val="0"/>
      </c:catAx>
      <c:valAx>
        <c:axId val="80083584"/>
        <c:scaling>
          <c:orientation val="minMax"/>
        </c:scaling>
        <c:delete val="0"/>
        <c:axPos val="l"/>
        <c:majorGridlines/>
        <c:numFmt formatCode="0.0%" sourceLinked="1"/>
        <c:majorTickMark val="out"/>
        <c:minorTickMark val="none"/>
        <c:tickLblPos val="nextTo"/>
        <c:crossAx val="800820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'4.1'!$A$2</c:f>
              <c:strCache>
                <c:ptCount val="1"/>
                <c:pt idx="0">
                  <c:v>Average Salary</c:v>
                </c:pt>
              </c:strCache>
            </c:strRef>
          </c:tx>
          <c:invertIfNegative val="0"/>
          <c:cat>
            <c:strRef>
              <c:f>'4.1'!$B$1:$E$1</c:f>
              <c:strCache>
                <c:ptCount val="4"/>
                <c:pt idx="0">
                  <c:v>Registered Disabled</c:v>
                </c:pt>
                <c:pt idx="1">
                  <c:v>Not Registered Disabled</c:v>
                </c:pt>
                <c:pt idx="2">
                  <c:v>Undisclosed</c:v>
                </c:pt>
                <c:pt idx="3">
                  <c:v>Overall</c:v>
                </c:pt>
              </c:strCache>
            </c:strRef>
          </c:cat>
          <c:val>
            <c:numRef>
              <c:f>'4.1'!$B$2:$E$2</c:f>
              <c:numCache>
                <c:formatCode>"£"#,##0.00</c:formatCode>
                <c:ptCount val="4"/>
                <c:pt idx="0">
                  <c:v>23386.29</c:v>
                </c:pt>
                <c:pt idx="1">
                  <c:v>25145.58</c:v>
                </c:pt>
                <c:pt idx="2">
                  <c:v>16581.04</c:v>
                </c:pt>
                <c:pt idx="3">
                  <c:v>24925.119999999999</c:v>
                </c:pt>
              </c:numCache>
            </c:numRef>
          </c:val>
        </c:ser>
        <c:dLbls>
          <c:showLegendKey val="0"/>
          <c:showVal val="0"/>
          <c:showCatName val="0"/>
          <c:showSerName val="0"/>
          <c:showPercent val="0"/>
          <c:showBubbleSize val="0"/>
        </c:dLbls>
        <c:gapWidth val="150"/>
        <c:axId val="80095488"/>
        <c:axId val="80101376"/>
      </c:barChart>
      <c:catAx>
        <c:axId val="80095488"/>
        <c:scaling>
          <c:orientation val="minMax"/>
        </c:scaling>
        <c:delete val="0"/>
        <c:axPos val="b"/>
        <c:majorTickMark val="out"/>
        <c:minorTickMark val="none"/>
        <c:tickLblPos val="nextTo"/>
        <c:txPr>
          <a:bodyPr rot="0" vert="horz"/>
          <a:lstStyle/>
          <a:p>
            <a:pPr>
              <a:defRPr/>
            </a:pPr>
            <a:endParaRPr lang="en-US"/>
          </a:p>
        </c:txPr>
        <c:crossAx val="80101376"/>
        <c:crosses val="autoZero"/>
        <c:auto val="1"/>
        <c:lblAlgn val="ctr"/>
        <c:lblOffset val="100"/>
        <c:noMultiLvlLbl val="0"/>
      </c:catAx>
      <c:valAx>
        <c:axId val="80101376"/>
        <c:scaling>
          <c:orientation val="minMax"/>
        </c:scaling>
        <c:delete val="0"/>
        <c:axPos val="l"/>
        <c:majorGridlines/>
        <c:numFmt formatCode="&quot;£&quot;#,##0.00" sourceLinked="1"/>
        <c:majorTickMark val="out"/>
        <c:minorTickMark val="none"/>
        <c:tickLblPos val="nextTo"/>
        <c:crossAx val="8009548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'4.1'!$A$5</c:f>
              <c:strCache>
                <c:ptCount val="1"/>
                <c:pt idx="0">
                  <c:v>Average Salary</c:v>
                </c:pt>
              </c:strCache>
            </c:strRef>
          </c:tx>
          <c:invertIfNegative val="0"/>
          <c:cat>
            <c:strRef>
              <c:f>'4.1'!$B$4:$E$4</c:f>
              <c:strCache>
                <c:ptCount val="4"/>
                <c:pt idx="0">
                  <c:v>White British</c:v>
                </c:pt>
                <c:pt idx="1">
                  <c:v>BME</c:v>
                </c:pt>
                <c:pt idx="2">
                  <c:v>Undisclosed</c:v>
                </c:pt>
                <c:pt idx="3">
                  <c:v>Overall</c:v>
                </c:pt>
              </c:strCache>
            </c:strRef>
          </c:cat>
          <c:val>
            <c:numRef>
              <c:f>'4.1'!$B$5:$E$5</c:f>
              <c:numCache>
                <c:formatCode>"£"#,##0.00</c:formatCode>
                <c:ptCount val="4"/>
                <c:pt idx="0">
                  <c:v>24779.14</c:v>
                </c:pt>
                <c:pt idx="1">
                  <c:v>28952.71</c:v>
                </c:pt>
                <c:pt idx="2">
                  <c:v>17429.11</c:v>
                </c:pt>
                <c:pt idx="3">
                  <c:v>24925.119999999999</c:v>
                </c:pt>
              </c:numCache>
            </c:numRef>
          </c:val>
        </c:ser>
        <c:dLbls>
          <c:showLegendKey val="0"/>
          <c:showVal val="0"/>
          <c:showCatName val="0"/>
          <c:showSerName val="0"/>
          <c:showPercent val="0"/>
          <c:showBubbleSize val="0"/>
        </c:dLbls>
        <c:gapWidth val="150"/>
        <c:axId val="80112640"/>
        <c:axId val="80122624"/>
      </c:barChart>
      <c:catAx>
        <c:axId val="80112640"/>
        <c:scaling>
          <c:orientation val="minMax"/>
        </c:scaling>
        <c:delete val="0"/>
        <c:axPos val="b"/>
        <c:majorTickMark val="out"/>
        <c:minorTickMark val="none"/>
        <c:tickLblPos val="nextTo"/>
        <c:crossAx val="80122624"/>
        <c:crosses val="autoZero"/>
        <c:auto val="1"/>
        <c:lblAlgn val="ctr"/>
        <c:lblOffset val="100"/>
        <c:noMultiLvlLbl val="0"/>
      </c:catAx>
      <c:valAx>
        <c:axId val="80122624"/>
        <c:scaling>
          <c:orientation val="minMax"/>
        </c:scaling>
        <c:delete val="0"/>
        <c:axPos val="l"/>
        <c:majorGridlines/>
        <c:numFmt formatCode="&quot;£&quot;#,##0.00" sourceLinked="1"/>
        <c:majorTickMark val="out"/>
        <c:minorTickMark val="none"/>
        <c:tickLblPos val="nextTo"/>
        <c:crossAx val="80112640"/>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17043307086614173"/>
          <c:y val="5.1400554097404488E-2"/>
          <c:w val="0.73280301761058408"/>
          <c:h val="0.77611475648877226"/>
        </c:manualLayout>
      </c:layout>
      <c:barChart>
        <c:barDir val="col"/>
        <c:grouping val="clustered"/>
        <c:varyColors val="0"/>
        <c:ser>
          <c:idx val="0"/>
          <c:order val="0"/>
          <c:tx>
            <c:strRef>
              <c:f>'4.1'!$A$8</c:f>
              <c:strCache>
                <c:ptCount val="1"/>
                <c:pt idx="0">
                  <c:v>Average Salary</c:v>
                </c:pt>
              </c:strCache>
            </c:strRef>
          </c:tx>
          <c:invertIfNegative val="0"/>
          <c:cat>
            <c:strRef>
              <c:f>'4.1'!$B$7:$H$7</c:f>
              <c:strCache>
                <c:ptCount val="7"/>
                <c:pt idx="0">
                  <c:v>16 to 20</c:v>
                </c:pt>
                <c:pt idx="1">
                  <c:v>21 to 35</c:v>
                </c:pt>
                <c:pt idx="2">
                  <c:v>36 to 45</c:v>
                </c:pt>
                <c:pt idx="3">
                  <c:v>46 to 55</c:v>
                </c:pt>
                <c:pt idx="4">
                  <c:v>56 to 65</c:v>
                </c:pt>
                <c:pt idx="5">
                  <c:v>66 and over</c:v>
                </c:pt>
                <c:pt idx="6">
                  <c:v>Overall</c:v>
                </c:pt>
              </c:strCache>
            </c:strRef>
          </c:cat>
          <c:val>
            <c:numRef>
              <c:f>'4.1'!$B$8:$H$8</c:f>
              <c:numCache>
                <c:formatCode>"£"#,##0.00</c:formatCode>
                <c:ptCount val="7"/>
                <c:pt idx="0">
                  <c:v>12774.34</c:v>
                </c:pt>
                <c:pt idx="1">
                  <c:v>23081.01</c:v>
                </c:pt>
                <c:pt idx="2">
                  <c:v>25595.52</c:v>
                </c:pt>
                <c:pt idx="3">
                  <c:v>25723.11</c:v>
                </c:pt>
                <c:pt idx="4">
                  <c:v>27274.9</c:v>
                </c:pt>
                <c:pt idx="5">
                  <c:v>15455.5</c:v>
                </c:pt>
                <c:pt idx="6">
                  <c:v>24925.119999999999</c:v>
                </c:pt>
              </c:numCache>
            </c:numRef>
          </c:val>
        </c:ser>
        <c:dLbls>
          <c:showLegendKey val="0"/>
          <c:showVal val="0"/>
          <c:showCatName val="0"/>
          <c:showSerName val="0"/>
          <c:showPercent val="0"/>
          <c:showBubbleSize val="0"/>
        </c:dLbls>
        <c:gapWidth val="150"/>
        <c:axId val="80146432"/>
        <c:axId val="80147968"/>
      </c:barChart>
      <c:catAx>
        <c:axId val="80146432"/>
        <c:scaling>
          <c:orientation val="minMax"/>
        </c:scaling>
        <c:delete val="0"/>
        <c:axPos val="b"/>
        <c:majorTickMark val="out"/>
        <c:minorTickMark val="none"/>
        <c:tickLblPos val="nextTo"/>
        <c:crossAx val="80147968"/>
        <c:crosses val="autoZero"/>
        <c:auto val="1"/>
        <c:lblAlgn val="ctr"/>
        <c:lblOffset val="100"/>
        <c:noMultiLvlLbl val="0"/>
      </c:catAx>
      <c:valAx>
        <c:axId val="80147968"/>
        <c:scaling>
          <c:orientation val="minMax"/>
        </c:scaling>
        <c:delete val="0"/>
        <c:axPos val="l"/>
        <c:majorGridlines/>
        <c:numFmt formatCode="&quot;£&quot;#,##0.00" sourceLinked="1"/>
        <c:majorTickMark val="out"/>
        <c:minorTickMark val="none"/>
        <c:tickLblPos val="nextTo"/>
        <c:crossAx val="80146432"/>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'4.1'!$A$11</c:f>
              <c:strCache>
                <c:ptCount val="1"/>
                <c:pt idx="0">
                  <c:v>Average Salary</c:v>
                </c:pt>
              </c:strCache>
            </c:strRef>
          </c:tx>
          <c:invertIfNegative val="0"/>
          <c:cat>
            <c:strRef>
              <c:f>'4.1'!$B$10:$D$10</c:f>
              <c:strCache>
                <c:ptCount val="3"/>
                <c:pt idx="0">
                  <c:v>Female</c:v>
                </c:pt>
                <c:pt idx="1">
                  <c:v>Male</c:v>
                </c:pt>
                <c:pt idx="2">
                  <c:v>Overall</c:v>
                </c:pt>
              </c:strCache>
            </c:strRef>
          </c:cat>
          <c:val>
            <c:numRef>
              <c:f>'4.1'!$B$11:$D$11</c:f>
              <c:numCache>
                <c:formatCode>"£"#,##0.00</c:formatCode>
                <c:ptCount val="3"/>
                <c:pt idx="0">
                  <c:v>23951.02</c:v>
                </c:pt>
                <c:pt idx="1">
                  <c:v>26722.2</c:v>
                </c:pt>
                <c:pt idx="2">
                  <c:v>24925.119999999999</c:v>
                </c:pt>
              </c:numCache>
            </c:numRef>
          </c:val>
        </c:ser>
        <c:dLbls>
          <c:showLegendKey val="0"/>
          <c:showVal val="0"/>
          <c:showCatName val="0"/>
          <c:showSerName val="0"/>
          <c:showPercent val="0"/>
          <c:showBubbleSize val="0"/>
        </c:dLbls>
        <c:gapWidth val="150"/>
        <c:axId val="80171776"/>
        <c:axId val="80173312"/>
      </c:barChart>
      <c:catAx>
        <c:axId val="80171776"/>
        <c:scaling>
          <c:orientation val="minMax"/>
        </c:scaling>
        <c:delete val="0"/>
        <c:axPos val="b"/>
        <c:majorTickMark val="out"/>
        <c:minorTickMark val="none"/>
        <c:tickLblPos val="nextTo"/>
        <c:crossAx val="80173312"/>
        <c:crosses val="autoZero"/>
        <c:auto val="1"/>
        <c:lblAlgn val="ctr"/>
        <c:lblOffset val="100"/>
        <c:noMultiLvlLbl val="0"/>
      </c:catAx>
      <c:valAx>
        <c:axId val="80173312"/>
        <c:scaling>
          <c:orientation val="minMax"/>
        </c:scaling>
        <c:delete val="0"/>
        <c:axPos val="l"/>
        <c:majorGridlines/>
        <c:numFmt formatCode="&quot;£&quot;#,##0.00" sourceLinked="1"/>
        <c:majorTickMark val="out"/>
        <c:minorTickMark val="none"/>
        <c:tickLblPos val="nextTo"/>
        <c:crossAx val="80171776"/>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'4.2'!$A$2</c:f>
              <c:strCache>
                <c:ptCount val="1"/>
                <c:pt idx="0">
                  <c:v>Average Service</c:v>
                </c:pt>
              </c:strCache>
            </c:strRef>
          </c:tx>
          <c:invertIfNegative val="0"/>
          <c:cat>
            <c:strRef>
              <c:f>'4.2'!$B$1:$E$1</c:f>
              <c:strCache>
                <c:ptCount val="4"/>
                <c:pt idx="0">
                  <c:v>Registered Disabled</c:v>
                </c:pt>
                <c:pt idx="1">
                  <c:v>Not Registered Disabled</c:v>
                </c:pt>
                <c:pt idx="2">
                  <c:v>Undisclosed</c:v>
                </c:pt>
                <c:pt idx="3">
                  <c:v>Overall</c:v>
                </c:pt>
              </c:strCache>
            </c:strRef>
          </c:cat>
          <c:val>
            <c:numRef>
              <c:f>'4.2'!$B$2:$E$2</c:f>
              <c:numCache>
                <c:formatCode>0.00</c:formatCode>
                <c:ptCount val="4"/>
                <c:pt idx="0">
                  <c:v>7</c:v>
                </c:pt>
                <c:pt idx="1">
                  <c:v>6.7</c:v>
                </c:pt>
                <c:pt idx="2">
                  <c:v>6.3</c:v>
                </c:pt>
                <c:pt idx="3">
                  <c:v>6.6</c:v>
                </c:pt>
              </c:numCache>
            </c:numRef>
          </c:val>
        </c:ser>
        <c:dLbls>
          <c:showLegendKey val="0"/>
          <c:showVal val="0"/>
          <c:showCatName val="0"/>
          <c:showSerName val="0"/>
          <c:showPercent val="0"/>
          <c:showBubbleSize val="0"/>
        </c:dLbls>
        <c:gapWidth val="150"/>
        <c:axId val="80196736"/>
        <c:axId val="80198272"/>
      </c:barChart>
      <c:catAx>
        <c:axId val="80196736"/>
        <c:scaling>
          <c:orientation val="minMax"/>
        </c:scaling>
        <c:delete val="0"/>
        <c:axPos val="b"/>
        <c:majorTickMark val="out"/>
        <c:minorTickMark val="none"/>
        <c:tickLblPos val="nextTo"/>
        <c:crossAx val="80198272"/>
        <c:crosses val="autoZero"/>
        <c:auto val="1"/>
        <c:lblAlgn val="ctr"/>
        <c:lblOffset val="100"/>
        <c:noMultiLvlLbl val="0"/>
      </c:catAx>
      <c:valAx>
        <c:axId val="80198272"/>
        <c:scaling>
          <c:orientation val="minMax"/>
        </c:scaling>
        <c:delete val="0"/>
        <c:axPos val="l"/>
        <c:majorGridlines/>
        <c:numFmt formatCode="0.00" sourceLinked="1"/>
        <c:majorTickMark val="out"/>
        <c:minorTickMark val="none"/>
        <c:tickLblPos val="nextTo"/>
        <c:crossAx val="801967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'1'!$G$17</c:f>
              <c:strCache>
                <c:ptCount val="1"/>
                <c:pt idx="0">
                  <c:v>Total Submitted</c:v>
                </c:pt>
              </c:strCache>
            </c:strRef>
          </c:tx>
          <c:invertIfNegative val="0"/>
          <c:cat>
            <c:strRef>
              <c:f>'1'!$F$18:$F$19</c:f>
              <c:strCache>
                <c:ptCount val="2"/>
                <c:pt idx="0">
                  <c:v>White British</c:v>
                </c:pt>
                <c:pt idx="1">
                  <c:v>BME</c:v>
                </c:pt>
              </c:strCache>
            </c:strRef>
          </c:cat>
          <c:val>
            <c:numRef>
              <c:f>'1'!$G$18:$G$19</c:f>
              <c:numCache>
                <c:formatCode>0.0%</c:formatCode>
                <c:ptCount val="2"/>
                <c:pt idx="0">
                  <c:v>0.85104364326375714</c:v>
                </c:pt>
                <c:pt idx="1">
                  <c:v>0.14895635673624288</c:v>
                </c:pt>
              </c:numCache>
            </c:numRef>
          </c:val>
        </c:ser>
        <c:ser>
          <c:idx val="1"/>
          <c:order val="1"/>
          <c:tx>
            <c:strRef>
              <c:f>'1'!$H$17</c:f>
              <c:strCache>
                <c:ptCount val="1"/>
                <c:pt idx="0">
                  <c:v>Total Shortlisted</c:v>
                </c:pt>
              </c:strCache>
            </c:strRef>
          </c:tx>
          <c:invertIfNegative val="0"/>
          <c:cat>
            <c:strRef>
              <c:f>'1'!$F$18:$F$19</c:f>
              <c:strCache>
                <c:ptCount val="2"/>
                <c:pt idx="0">
                  <c:v>White British</c:v>
                </c:pt>
                <c:pt idx="1">
                  <c:v>BME</c:v>
                </c:pt>
              </c:strCache>
            </c:strRef>
          </c:cat>
          <c:val>
            <c:numRef>
              <c:f>'1'!$H$18:$H$19</c:f>
              <c:numCache>
                <c:formatCode>0.0%</c:formatCode>
                <c:ptCount val="2"/>
                <c:pt idx="0">
                  <c:v>0.84297520661157022</c:v>
                </c:pt>
                <c:pt idx="1">
                  <c:v>0.15702479338842976</c:v>
                </c:pt>
              </c:numCache>
            </c:numRef>
          </c:val>
        </c:ser>
        <c:ser>
          <c:idx val="2"/>
          <c:order val="2"/>
          <c:tx>
            <c:strRef>
              <c:f>'1'!$I$17</c:f>
              <c:strCache>
                <c:ptCount val="1"/>
                <c:pt idx="0">
                  <c:v>Total Successful</c:v>
                </c:pt>
              </c:strCache>
            </c:strRef>
          </c:tx>
          <c:invertIfNegative val="0"/>
          <c:cat>
            <c:strRef>
              <c:f>'1'!$F$18:$F$19</c:f>
              <c:strCache>
                <c:ptCount val="2"/>
                <c:pt idx="0">
                  <c:v>White British</c:v>
                </c:pt>
                <c:pt idx="1">
                  <c:v>BME</c:v>
                </c:pt>
              </c:strCache>
            </c:strRef>
          </c:cat>
          <c:val>
            <c:numRef>
              <c:f>'1'!$I$18:$I$19</c:f>
              <c:numCache>
                <c:formatCode>0.0%</c:formatCode>
                <c:ptCount val="2"/>
                <c:pt idx="0">
                  <c:v>0.88524590163934425</c:v>
                </c:pt>
                <c:pt idx="1">
                  <c:v>0.11475409836065574</c:v>
                </c:pt>
              </c:numCache>
            </c:numRef>
          </c:val>
        </c:ser>
        <c:dLbls>
          <c:showLegendKey val="0"/>
          <c:showVal val="0"/>
          <c:showCatName val="0"/>
          <c:showSerName val="0"/>
          <c:showPercent val="0"/>
          <c:showBubbleSize val="0"/>
        </c:dLbls>
        <c:gapWidth val="150"/>
        <c:axId val="73292800"/>
        <c:axId val="73319168"/>
      </c:barChart>
      <c:catAx>
        <c:axId val="73292800"/>
        <c:scaling>
          <c:orientation val="minMax"/>
        </c:scaling>
        <c:delete val="0"/>
        <c:axPos val="b"/>
        <c:majorTickMark val="out"/>
        <c:minorTickMark val="none"/>
        <c:tickLblPos val="nextTo"/>
        <c:crossAx val="73319168"/>
        <c:crosses val="autoZero"/>
        <c:auto val="1"/>
        <c:lblAlgn val="ctr"/>
        <c:lblOffset val="100"/>
        <c:noMultiLvlLbl val="0"/>
      </c:catAx>
      <c:valAx>
        <c:axId val="73319168"/>
        <c:scaling>
          <c:orientation val="minMax"/>
        </c:scaling>
        <c:delete val="0"/>
        <c:axPos val="l"/>
        <c:majorGridlines/>
        <c:numFmt formatCode="0.0%" sourceLinked="1"/>
        <c:majorTickMark val="out"/>
        <c:minorTickMark val="none"/>
        <c:tickLblPos val="nextTo"/>
        <c:crossAx val="73292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'4.2'!$A$5</c:f>
              <c:strCache>
                <c:ptCount val="1"/>
                <c:pt idx="0">
                  <c:v>Average Service</c:v>
                </c:pt>
              </c:strCache>
            </c:strRef>
          </c:tx>
          <c:invertIfNegative val="0"/>
          <c:cat>
            <c:strRef>
              <c:f>'4.2'!$B$4:$E$4</c:f>
              <c:strCache>
                <c:ptCount val="4"/>
                <c:pt idx="0">
                  <c:v>White British</c:v>
                </c:pt>
                <c:pt idx="1">
                  <c:v>BME</c:v>
                </c:pt>
                <c:pt idx="2">
                  <c:v>Undisclosed</c:v>
                </c:pt>
                <c:pt idx="3">
                  <c:v>Overall</c:v>
                </c:pt>
              </c:strCache>
            </c:strRef>
          </c:cat>
          <c:val>
            <c:numRef>
              <c:f>'4.2'!$B$5:$E$5</c:f>
              <c:numCache>
                <c:formatCode>0.00</c:formatCode>
                <c:ptCount val="4"/>
                <c:pt idx="0">
                  <c:v>6.7</c:v>
                </c:pt>
                <c:pt idx="1">
                  <c:v>5.0999999999999996</c:v>
                </c:pt>
                <c:pt idx="2">
                  <c:v>3.1</c:v>
                </c:pt>
                <c:pt idx="3">
                  <c:v>6.6</c:v>
                </c:pt>
              </c:numCache>
            </c:numRef>
          </c:val>
        </c:ser>
        <c:dLbls>
          <c:showLegendKey val="0"/>
          <c:showVal val="0"/>
          <c:showCatName val="0"/>
          <c:showSerName val="0"/>
          <c:showPercent val="0"/>
          <c:showBubbleSize val="0"/>
        </c:dLbls>
        <c:gapWidth val="150"/>
        <c:axId val="46409600"/>
        <c:axId val="46411136"/>
      </c:barChart>
      <c:catAx>
        <c:axId val="46409600"/>
        <c:scaling>
          <c:orientation val="minMax"/>
        </c:scaling>
        <c:delete val="0"/>
        <c:axPos val="b"/>
        <c:majorTickMark val="out"/>
        <c:minorTickMark val="none"/>
        <c:tickLblPos val="nextTo"/>
        <c:crossAx val="46411136"/>
        <c:crosses val="autoZero"/>
        <c:auto val="1"/>
        <c:lblAlgn val="ctr"/>
        <c:lblOffset val="100"/>
        <c:noMultiLvlLbl val="0"/>
      </c:catAx>
      <c:valAx>
        <c:axId val="46411136"/>
        <c:scaling>
          <c:orientation val="minMax"/>
        </c:scaling>
        <c:delete val="0"/>
        <c:axPos val="l"/>
        <c:majorGridlines/>
        <c:numFmt formatCode="0.00" sourceLinked="1"/>
        <c:majorTickMark val="out"/>
        <c:minorTickMark val="none"/>
        <c:tickLblPos val="nextTo"/>
        <c:crossAx val="46409600"/>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'4.2'!$A$8</c:f>
              <c:strCache>
                <c:ptCount val="1"/>
                <c:pt idx="0">
                  <c:v>Average Service</c:v>
                </c:pt>
              </c:strCache>
            </c:strRef>
          </c:tx>
          <c:invertIfNegative val="0"/>
          <c:cat>
            <c:strRef>
              <c:f>'4.2'!$B$7:$H$7</c:f>
              <c:strCache>
                <c:ptCount val="7"/>
                <c:pt idx="0">
                  <c:v>16 to 20</c:v>
                </c:pt>
                <c:pt idx="1">
                  <c:v>21 to 35</c:v>
                </c:pt>
                <c:pt idx="2">
                  <c:v>36 to 45</c:v>
                </c:pt>
                <c:pt idx="3">
                  <c:v>46 to 55</c:v>
                </c:pt>
                <c:pt idx="4">
                  <c:v>56 to 65</c:v>
                </c:pt>
                <c:pt idx="5">
                  <c:v>66 and over</c:v>
                </c:pt>
                <c:pt idx="6">
                  <c:v>Overall</c:v>
                </c:pt>
              </c:strCache>
            </c:strRef>
          </c:cat>
          <c:val>
            <c:numRef>
              <c:f>'4.2'!$B$8:$H$8</c:f>
              <c:numCache>
                <c:formatCode>0.00</c:formatCode>
                <c:ptCount val="7"/>
                <c:pt idx="0">
                  <c:v>1.2</c:v>
                </c:pt>
                <c:pt idx="1">
                  <c:v>4.5999999999999996</c:v>
                </c:pt>
                <c:pt idx="2">
                  <c:v>5.8</c:v>
                </c:pt>
                <c:pt idx="3">
                  <c:v>7.6</c:v>
                </c:pt>
                <c:pt idx="4">
                  <c:v>9.9</c:v>
                </c:pt>
                <c:pt idx="5">
                  <c:v>10.4</c:v>
                </c:pt>
                <c:pt idx="6">
                  <c:v>6.6</c:v>
                </c:pt>
              </c:numCache>
            </c:numRef>
          </c:val>
        </c:ser>
        <c:dLbls>
          <c:showLegendKey val="0"/>
          <c:showVal val="0"/>
          <c:showCatName val="0"/>
          <c:showSerName val="0"/>
          <c:showPercent val="0"/>
          <c:showBubbleSize val="0"/>
        </c:dLbls>
        <c:gapWidth val="150"/>
        <c:axId val="46418560"/>
        <c:axId val="46436736"/>
      </c:barChart>
      <c:catAx>
        <c:axId val="46418560"/>
        <c:scaling>
          <c:orientation val="minMax"/>
        </c:scaling>
        <c:delete val="0"/>
        <c:axPos val="b"/>
        <c:majorTickMark val="out"/>
        <c:minorTickMark val="none"/>
        <c:tickLblPos val="nextTo"/>
        <c:crossAx val="46436736"/>
        <c:crosses val="autoZero"/>
        <c:auto val="1"/>
        <c:lblAlgn val="ctr"/>
        <c:lblOffset val="100"/>
        <c:noMultiLvlLbl val="0"/>
      </c:catAx>
      <c:valAx>
        <c:axId val="46436736"/>
        <c:scaling>
          <c:orientation val="minMax"/>
        </c:scaling>
        <c:delete val="0"/>
        <c:axPos val="l"/>
        <c:majorGridlines/>
        <c:numFmt formatCode="0.00" sourceLinked="1"/>
        <c:majorTickMark val="out"/>
        <c:minorTickMark val="none"/>
        <c:tickLblPos val="nextTo"/>
        <c:crossAx val="46418560"/>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'4.2'!$A$11</c:f>
              <c:strCache>
                <c:ptCount val="1"/>
                <c:pt idx="0">
                  <c:v>Average Service</c:v>
                </c:pt>
              </c:strCache>
            </c:strRef>
          </c:tx>
          <c:invertIfNegative val="0"/>
          <c:cat>
            <c:strRef>
              <c:f>'4.2'!$B$10:$D$10</c:f>
              <c:strCache>
                <c:ptCount val="3"/>
                <c:pt idx="0">
                  <c:v>Female</c:v>
                </c:pt>
                <c:pt idx="1">
                  <c:v>Male</c:v>
                </c:pt>
                <c:pt idx="2">
                  <c:v>Overall</c:v>
                </c:pt>
              </c:strCache>
            </c:strRef>
          </c:cat>
          <c:val>
            <c:numRef>
              <c:f>'4.2'!$B$11:$D$11</c:f>
              <c:numCache>
                <c:formatCode>0.00</c:formatCode>
                <c:ptCount val="3"/>
                <c:pt idx="0">
                  <c:v>6.6</c:v>
                </c:pt>
                <c:pt idx="1">
                  <c:v>6.5</c:v>
                </c:pt>
                <c:pt idx="2">
                  <c:v>6.6</c:v>
                </c:pt>
              </c:numCache>
            </c:numRef>
          </c:val>
        </c:ser>
        <c:dLbls>
          <c:showLegendKey val="0"/>
          <c:showVal val="0"/>
          <c:showCatName val="0"/>
          <c:showSerName val="0"/>
          <c:showPercent val="0"/>
          <c:showBubbleSize val="0"/>
        </c:dLbls>
        <c:gapWidth val="150"/>
        <c:axId val="71102464"/>
        <c:axId val="71104000"/>
      </c:barChart>
      <c:catAx>
        <c:axId val="71102464"/>
        <c:scaling>
          <c:orientation val="minMax"/>
        </c:scaling>
        <c:delete val="0"/>
        <c:axPos val="b"/>
        <c:majorTickMark val="out"/>
        <c:minorTickMark val="none"/>
        <c:tickLblPos val="nextTo"/>
        <c:crossAx val="71104000"/>
        <c:crosses val="autoZero"/>
        <c:auto val="1"/>
        <c:lblAlgn val="ctr"/>
        <c:lblOffset val="100"/>
        <c:noMultiLvlLbl val="0"/>
      </c:catAx>
      <c:valAx>
        <c:axId val="71104000"/>
        <c:scaling>
          <c:orientation val="minMax"/>
        </c:scaling>
        <c:delete val="0"/>
        <c:axPos val="l"/>
        <c:majorGridlines/>
        <c:numFmt formatCode="0.00" sourceLinked="1"/>
        <c:majorTickMark val="out"/>
        <c:minorTickMark val="none"/>
        <c:tickLblPos val="nextTo"/>
        <c:crossAx val="7110246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'4.4 (2010-11)'!$K$25</c:f>
              <c:strCache>
                <c:ptCount val="1"/>
                <c:pt idx="0">
                  <c:v>Workforce</c:v>
                </c:pt>
              </c:strCache>
            </c:strRef>
          </c:tx>
          <c:invertIfNegative val="0"/>
          <c:cat>
            <c:strRef>
              <c:f>'4.4 (2010-11)'!$L$24:$N$24</c:f>
              <c:strCache>
                <c:ptCount val="3"/>
                <c:pt idx="0">
                  <c:v>Registered Disabled</c:v>
                </c:pt>
                <c:pt idx="1">
                  <c:v>Not Registered Disabled</c:v>
                </c:pt>
                <c:pt idx="2">
                  <c:v>Undisclosed</c:v>
                </c:pt>
              </c:strCache>
            </c:strRef>
          </c:cat>
          <c:val>
            <c:numRef>
              <c:f>'4.4 (2010-11)'!$L$25:$N$25</c:f>
              <c:numCache>
                <c:formatCode>0.0%</c:formatCode>
                <c:ptCount val="3"/>
                <c:pt idx="0">
                  <c:v>3.3976124885215793E-2</c:v>
                </c:pt>
                <c:pt idx="1">
                  <c:v>0.88705234159779611</c:v>
                </c:pt>
                <c:pt idx="2">
                  <c:v>7.897153351698806E-2</c:v>
                </c:pt>
              </c:numCache>
            </c:numRef>
          </c:val>
        </c:ser>
        <c:ser>
          <c:idx val="1"/>
          <c:order val="1"/>
          <c:tx>
            <c:strRef>
              <c:f>'4.4 (2010-11)'!$K$26</c:f>
              <c:strCache>
                <c:ptCount val="1"/>
                <c:pt idx="0">
                  <c:v>G&amp;D</c:v>
                </c:pt>
              </c:strCache>
            </c:strRef>
          </c:tx>
          <c:invertIfNegative val="0"/>
          <c:cat>
            <c:strRef>
              <c:f>'4.4 (2010-11)'!$L$24:$N$24</c:f>
              <c:strCache>
                <c:ptCount val="3"/>
                <c:pt idx="0">
                  <c:v>Registered Disabled</c:v>
                </c:pt>
                <c:pt idx="1">
                  <c:v>Not Registered Disabled</c:v>
                </c:pt>
                <c:pt idx="2">
                  <c:v>Undisclosed</c:v>
                </c:pt>
              </c:strCache>
            </c:strRef>
          </c:cat>
          <c:val>
            <c:numRef>
              <c:f>'4.4 (2010-11)'!$L$26:$N$26</c:f>
              <c:numCache>
                <c:formatCode>0.0%</c:formatCode>
                <c:ptCount val="3"/>
                <c:pt idx="0">
                  <c:v>0.1</c:v>
                </c:pt>
                <c:pt idx="1">
                  <c:v>0.85</c:v>
                </c:pt>
                <c:pt idx="2">
                  <c:v>0.05</c:v>
                </c:pt>
              </c:numCache>
            </c:numRef>
          </c:val>
        </c:ser>
        <c:dLbls>
          <c:showLegendKey val="0"/>
          <c:showVal val="0"/>
          <c:showCatName val="0"/>
          <c:showSerName val="0"/>
          <c:showPercent val="0"/>
          <c:showBubbleSize val="0"/>
        </c:dLbls>
        <c:gapWidth val="150"/>
        <c:axId val="79181312"/>
        <c:axId val="79182848"/>
      </c:barChart>
      <c:catAx>
        <c:axId val="79181312"/>
        <c:scaling>
          <c:orientation val="minMax"/>
        </c:scaling>
        <c:delete val="0"/>
        <c:axPos val="b"/>
        <c:majorTickMark val="out"/>
        <c:minorTickMark val="none"/>
        <c:tickLblPos val="nextTo"/>
        <c:crossAx val="79182848"/>
        <c:crosses val="autoZero"/>
        <c:auto val="1"/>
        <c:lblAlgn val="ctr"/>
        <c:lblOffset val="100"/>
        <c:noMultiLvlLbl val="0"/>
      </c:catAx>
      <c:valAx>
        <c:axId val="79182848"/>
        <c:scaling>
          <c:orientation val="minMax"/>
        </c:scaling>
        <c:delete val="0"/>
        <c:axPos val="l"/>
        <c:majorGridlines/>
        <c:numFmt formatCode="0.0%" sourceLinked="1"/>
        <c:majorTickMark val="out"/>
        <c:minorTickMark val="none"/>
        <c:tickLblPos val="nextTo"/>
        <c:crossAx val="791813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'4.4 (2010-11)'!$K$29</c:f>
              <c:strCache>
                <c:ptCount val="1"/>
                <c:pt idx="0">
                  <c:v>Workforce</c:v>
                </c:pt>
              </c:strCache>
            </c:strRef>
          </c:tx>
          <c:invertIfNegative val="0"/>
          <c:cat>
            <c:strRef>
              <c:f>'4.4 (2010-11)'!$L$28:$N$28</c:f>
              <c:strCache>
                <c:ptCount val="3"/>
                <c:pt idx="0">
                  <c:v>White British</c:v>
                </c:pt>
                <c:pt idx="1">
                  <c:v>BME</c:v>
                </c:pt>
                <c:pt idx="2">
                  <c:v>Undisclosed</c:v>
                </c:pt>
              </c:strCache>
            </c:strRef>
          </c:cat>
          <c:val>
            <c:numRef>
              <c:f>'4.4 (2010-11)'!$L$29:$N$29</c:f>
              <c:numCache>
                <c:formatCode>0.0%</c:formatCode>
                <c:ptCount val="3"/>
                <c:pt idx="0">
                  <c:v>0.93847566574839303</c:v>
                </c:pt>
                <c:pt idx="1">
                  <c:v>4.4995408631772267E-2</c:v>
                </c:pt>
                <c:pt idx="2">
                  <c:v>1.6528925619834711E-2</c:v>
                </c:pt>
              </c:numCache>
            </c:numRef>
          </c:val>
        </c:ser>
        <c:ser>
          <c:idx val="1"/>
          <c:order val="1"/>
          <c:tx>
            <c:strRef>
              <c:f>'4.4 (2010-11)'!$K$30</c:f>
              <c:strCache>
                <c:ptCount val="1"/>
                <c:pt idx="0">
                  <c:v>G&amp;D</c:v>
                </c:pt>
              </c:strCache>
            </c:strRef>
          </c:tx>
          <c:invertIfNegative val="0"/>
          <c:cat>
            <c:strRef>
              <c:f>'4.4 (2010-11)'!$L$28:$N$28</c:f>
              <c:strCache>
                <c:ptCount val="3"/>
                <c:pt idx="0">
                  <c:v>White British</c:v>
                </c:pt>
                <c:pt idx="1">
                  <c:v>BME</c:v>
                </c:pt>
                <c:pt idx="2">
                  <c:v>Undisclosed</c:v>
                </c:pt>
              </c:strCache>
            </c:strRef>
          </c:cat>
          <c:val>
            <c:numRef>
              <c:f>'4.4 (2010-11)'!$L$30:$N$30</c:f>
              <c:numCache>
                <c:formatCode>0.0%</c:formatCode>
                <c:ptCount val="3"/>
                <c:pt idx="0">
                  <c:v>0.95</c:v>
                </c:pt>
                <c:pt idx="1">
                  <c:v>0.05</c:v>
                </c:pt>
                <c:pt idx="2">
                  <c:v>0</c:v>
                </c:pt>
              </c:numCache>
            </c:numRef>
          </c:val>
        </c:ser>
        <c:dLbls>
          <c:showLegendKey val="0"/>
          <c:showVal val="0"/>
          <c:showCatName val="0"/>
          <c:showSerName val="0"/>
          <c:showPercent val="0"/>
          <c:showBubbleSize val="0"/>
        </c:dLbls>
        <c:gapWidth val="150"/>
        <c:axId val="79207808"/>
        <c:axId val="79213696"/>
      </c:barChart>
      <c:catAx>
        <c:axId val="79207808"/>
        <c:scaling>
          <c:orientation val="minMax"/>
        </c:scaling>
        <c:delete val="0"/>
        <c:axPos val="b"/>
        <c:majorTickMark val="out"/>
        <c:minorTickMark val="none"/>
        <c:tickLblPos val="nextTo"/>
        <c:crossAx val="79213696"/>
        <c:crosses val="autoZero"/>
        <c:auto val="1"/>
        <c:lblAlgn val="ctr"/>
        <c:lblOffset val="100"/>
        <c:noMultiLvlLbl val="0"/>
      </c:catAx>
      <c:valAx>
        <c:axId val="79213696"/>
        <c:scaling>
          <c:orientation val="minMax"/>
        </c:scaling>
        <c:delete val="0"/>
        <c:axPos val="l"/>
        <c:majorGridlines/>
        <c:numFmt formatCode="0.0%" sourceLinked="1"/>
        <c:majorTickMark val="out"/>
        <c:minorTickMark val="none"/>
        <c:tickLblPos val="nextTo"/>
        <c:crossAx val="79207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'4.4 (2010-11)'!$K$33</c:f>
              <c:strCache>
                <c:ptCount val="1"/>
                <c:pt idx="0">
                  <c:v>Workforce</c:v>
                </c:pt>
              </c:strCache>
            </c:strRef>
          </c:tx>
          <c:invertIfNegative val="0"/>
          <c:cat>
            <c:strRef>
              <c:f>'4.4 (2010-11)'!$L$32:$Q$32</c:f>
              <c:strCache>
                <c:ptCount val="6"/>
                <c:pt idx="0">
                  <c:v>16 to 20</c:v>
                </c:pt>
                <c:pt idx="1">
                  <c:v>21 to 35</c:v>
                </c:pt>
                <c:pt idx="2">
                  <c:v>36 to 45</c:v>
                </c:pt>
                <c:pt idx="3">
                  <c:v>46 to 55</c:v>
                </c:pt>
                <c:pt idx="4">
                  <c:v>56 to 65</c:v>
                </c:pt>
                <c:pt idx="5">
                  <c:v>66 and over</c:v>
                </c:pt>
              </c:strCache>
            </c:strRef>
          </c:cat>
          <c:val>
            <c:numRef>
              <c:f>'4.4 (2010-11)'!$L$33:$Q$33</c:f>
              <c:numCache>
                <c:formatCode>0.0%</c:formatCode>
                <c:ptCount val="6"/>
                <c:pt idx="0">
                  <c:v>2.1159153633854646E-2</c:v>
                </c:pt>
                <c:pt idx="1">
                  <c:v>0.30082796688132474</c:v>
                </c:pt>
                <c:pt idx="2">
                  <c:v>0.23827046918123276</c:v>
                </c:pt>
                <c:pt idx="3">
                  <c:v>0.26678932842686293</c:v>
                </c:pt>
                <c:pt idx="4">
                  <c:v>0.15455381784728611</c:v>
                </c:pt>
                <c:pt idx="5">
                  <c:v>1.8399264029438821E-2</c:v>
                </c:pt>
              </c:numCache>
            </c:numRef>
          </c:val>
        </c:ser>
        <c:ser>
          <c:idx val="1"/>
          <c:order val="1"/>
          <c:tx>
            <c:strRef>
              <c:f>'4.4 (2010-11)'!$K$34</c:f>
              <c:strCache>
                <c:ptCount val="1"/>
                <c:pt idx="0">
                  <c:v>G&amp;D</c:v>
                </c:pt>
              </c:strCache>
            </c:strRef>
          </c:tx>
          <c:invertIfNegative val="0"/>
          <c:cat>
            <c:strRef>
              <c:f>'4.4 (2010-11)'!$L$32:$Q$32</c:f>
              <c:strCache>
                <c:ptCount val="6"/>
                <c:pt idx="0">
                  <c:v>16 to 20</c:v>
                </c:pt>
                <c:pt idx="1">
                  <c:v>21 to 35</c:v>
                </c:pt>
                <c:pt idx="2">
                  <c:v>36 to 45</c:v>
                </c:pt>
                <c:pt idx="3">
                  <c:v>46 to 55</c:v>
                </c:pt>
                <c:pt idx="4">
                  <c:v>56 to 65</c:v>
                </c:pt>
                <c:pt idx="5">
                  <c:v>66 and over</c:v>
                </c:pt>
              </c:strCache>
            </c:strRef>
          </c:cat>
          <c:val>
            <c:numRef>
              <c:f>'4.4 (2010-11)'!$L$34:$Q$34</c:f>
              <c:numCache>
                <c:formatCode>0.0%</c:formatCode>
                <c:ptCount val="6"/>
                <c:pt idx="0">
                  <c:v>0</c:v>
                </c:pt>
                <c:pt idx="1">
                  <c:v>0.4</c:v>
                </c:pt>
                <c:pt idx="2">
                  <c:v>0.1</c:v>
                </c:pt>
                <c:pt idx="3">
                  <c:v>0.3</c:v>
                </c:pt>
                <c:pt idx="4">
                  <c:v>0.2</c:v>
                </c:pt>
                <c:pt idx="5">
                  <c:v>0</c:v>
                </c:pt>
              </c:numCache>
            </c:numRef>
          </c:val>
        </c:ser>
        <c:dLbls>
          <c:showLegendKey val="0"/>
          <c:showVal val="0"/>
          <c:showCatName val="0"/>
          <c:showSerName val="0"/>
          <c:showPercent val="0"/>
          <c:showBubbleSize val="0"/>
        </c:dLbls>
        <c:gapWidth val="150"/>
        <c:axId val="79250944"/>
        <c:axId val="79252480"/>
      </c:barChart>
      <c:catAx>
        <c:axId val="79250944"/>
        <c:scaling>
          <c:orientation val="minMax"/>
        </c:scaling>
        <c:delete val="0"/>
        <c:axPos val="b"/>
        <c:majorTickMark val="out"/>
        <c:minorTickMark val="none"/>
        <c:tickLblPos val="nextTo"/>
        <c:crossAx val="79252480"/>
        <c:crosses val="autoZero"/>
        <c:auto val="1"/>
        <c:lblAlgn val="ctr"/>
        <c:lblOffset val="100"/>
        <c:noMultiLvlLbl val="0"/>
      </c:catAx>
      <c:valAx>
        <c:axId val="79252480"/>
        <c:scaling>
          <c:orientation val="minMax"/>
        </c:scaling>
        <c:delete val="0"/>
        <c:axPos val="l"/>
        <c:majorGridlines/>
        <c:numFmt formatCode="0.0%" sourceLinked="1"/>
        <c:majorTickMark val="out"/>
        <c:minorTickMark val="none"/>
        <c:tickLblPos val="nextTo"/>
        <c:crossAx val="792509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'4.4 (2010-11)'!$K$37</c:f>
              <c:strCache>
                <c:ptCount val="1"/>
                <c:pt idx="0">
                  <c:v>Workforce</c:v>
                </c:pt>
              </c:strCache>
            </c:strRef>
          </c:tx>
          <c:invertIfNegative val="0"/>
          <c:cat>
            <c:strRef>
              <c:f>'4.4 (2010-11)'!$L$36:$M$36</c:f>
              <c:strCache>
                <c:ptCount val="2"/>
                <c:pt idx="0">
                  <c:v>Female</c:v>
                </c:pt>
                <c:pt idx="1">
                  <c:v>Male</c:v>
                </c:pt>
              </c:strCache>
            </c:strRef>
          </c:cat>
          <c:val>
            <c:numRef>
              <c:f>'4.4 (2010-11)'!$L$37:$M$37</c:f>
              <c:numCache>
                <c:formatCode>0.0%</c:formatCode>
                <c:ptCount val="2"/>
                <c:pt idx="0">
                  <c:v>0.62356453835553516</c:v>
                </c:pt>
                <c:pt idx="1">
                  <c:v>0.37643546164446484</c:v>
                </c:pt>
              </c:numCache>
            </c:numRef>
          </c:val>
        </c:ser>
        <c:ser>
          <c:idx val="1"/>
          <c:order val="1"/>
          <c:tx>
            <c:strRef>
              <c:f>'4.4 (2010-11)'!$K$38</c:f>
              <c:strCache>
                <c:ptCount val="1"/>
                <c:pt idx="0">
                  <c:v>G&amp;D</c:v>
                </c:pt>
              </c:strCache>
            </c:strRef>
          </c:tx>
          <c:invertIfNegative val="0"/>
          <c:cat>
            <c:strRef>
              <c:f>'4.4 (2010-11)'!$L$36:$M$36</c:f>
              <c:strCache>
                <c:ptCount val="2"/>
                <c:pt idx="0">
                  <c:v>Female</c:v>
                </c:pt>
                <c:pt idx="1">
                  <c:v>Male</c:v>
                </c:pt>
              </c:strCache>
            </c:strRef>
          </c:cat>
          <c:val>
            <c:numRef>
              <c:f>'4.4 (2010-11)'!$L$38:$M$38</c:f>
              <c:numCache>
                <c:formatCode>0.0%</c:formatCode>
                <c:ptCount val="2"/>
                <c:pt idx="0">
                  <c:v>0.7</c:v>
                </c:pt>
                <c:pt idx="1">
                  <c:v>0.3</c:v>
                </c:pt>
              </c:numCache>
            </c:numRef>
          </c:val>
        </c:ser>
        <c:dLbls>
          <c:showLegendKey val="0"/>
          <c:showVal val="0"/>
          <c:showCatName val="0"/>
          <c:showSerName val="0"/>
          <c:showPercent val="0"/>
          <c:showBubbleSize val="0"/>
        </c:dLbls>
        <c:gapWidth val="150"/>
        <c:axId val="79277440"/>
        <c:axId val="79287424"/>
      </c:barChart>
      <c:catAx>
        <c:axId val="79277440"/>
        <c:scaling>
          <c:orientation val="minMax"/>
        </c:scaling>
        <c:delete val="0"/>
        <c:axPos val="b"/>
        <c:majorTickMark val="out"/>
        <c:minorTickMark val="none"/>
        <c:tickLblPos val="nextTo"/>
        <c:crossAx val="79287424"/>
        <c:crosses val="autoZero"/>
        <c:auto val="1"/>
        <c:lblAlgn val="ctr"/>
        <c:lblOffset val="100"/>
        <c:noMultiLvlLbl val="0"/>
      </c:catAx>
      <c:valAx>
        <c:axId val="79287424"/>
        <c:scaling>
          <c:orientation val="minMax"/>
        </c:scaling>
        <c:delete val="0"/>
        <c:axPos val="l"/>
        <c:majorGridlines/>
        <c:numFmt formatCode="0.0%" sourceLinked="1"/>
        <c:majorTickMark val="out"/>
        <c:minorTickMark val="none"/>
        <c:tickLblPos val="nextTo"/>
        <c:crossAx val="792774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Sheet3!$E$5:$E$10</c:f>
              <c:strCache>
                <c:ptCount val="6"/>
                <c:pt idx="0">
                  <c:v>Heterosexual</c:v>
                </c:pt>
                <c:pt idx="1">
                  <c:v>Gay</c:v>
                </c:pt>
                <c:pt idx="2">
                  <c:v>Lesbian</c:v>
                </c:pt>
                <c:pt idx="3">
                  <c:v>Bisexual</c:v>
                </c:pt>
                <c:pt idx="4">
                  <c:v>Prefer not to say</c:v>
                </c:pt>
                <c:pt idx="5">
                  <c:v>Unknown</c:v>
                </c:pt>
              </c:strCache>
            </c:strRef>
          </c:cat>
          <c:val>
            <c:numRef>
              <c:f>Sheet3!$F$5:$F$10</c:f>
              <c:numCache>
                <c:formatCode>0.0%</c:formatCode>
                <c:ptCount val="6"/>
                <c:pt idx="0">
                  <c:v>0.33303085299455537</c:v>
                </c:pt>
                <c:pt idx="1">
                  <c:v>1.8148820326678765E-3</c:v>
                </c:pt>
                <c:pt idx="2">
                  <c:v>1.8148820326678765E-3</c:v>
                </c:pt>
                <c:pt idx="3">
                  <c:v>9.0744101633393826E-4</c:v>
                </c:pt>
                <c:pt idx="4">
                  <c:v>4.6279491833030852E-2</c:v>
                </c:pt>
                <c:pt idx="5">
                  <c:v>0.61615245009074415</c:v>
                </c:pt>
              </c:numCache>
            </c:numRef>
          </c:val>
        </c:ser>
        <c:dLbls>
          <c:showLegendKey val="0"/>
          <c:showVal val="0"/>
          <c:showCatName val="0"/>
          <c:showSerName val="0"/>
          <c:showPercent val="0"/>
          <c:showBubbleSize val="0"/>
        </c:dLbls>
        <c:gapWidth val="150"/>
        <c:axId val="79307904"/>
        <c:axId val="79309440"/>
      </c:barChart>
      <c:catAx>
        <c:axId val="79307904"/>
        <c:scaling>
          <c:orientation val="minMax"/>
        </c:scaling>
        <c:delete val="0"/>
        <c:axPos val="b"/>
        <c:majorTickMark val="out"/>
        <c:minorTickMark val="none"/>
        <c:tickLblPos val="nextTo"/>
        <c:crossAx val="79309440"/>
        <c:crosses val="autoZero"/>
        <c:auto val="1"/>
        <c:lblAlgn val="ctr"/>
        <c:lblOffset val="100"/>
        <c:noMultiLvlLbl val="0"/>
      </c:catAx>
      <c:valAx>
        <c:axId val="79309440"/>
        <c:scaling>
          <c:orientation val="minMax"/>
          <c:max val="0.60000000000000009"/>
        </c:scaling>
        <c:delete val="0"/>
        <c:axPos val="l"/>
        <c:majorGridlines/>
        <c:numFmt formatCode="0.0%" sourceLinked="1"/>
        <c:majorTickMark val="out"/>
        <c:minorTickMark val="none"/>
        <c:tickLblPos val="nextTo"/>
        <c:crossAx val="7930790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'1'!$G$49</c:f>
              <c:strCache>
                <c:ptCount val="1"/>
                <c:pt idx="0">
                  <c:v>Total in this range</c:v>
                </c:pt>
              </c:strCache>
            </c:strRef>
          </c:tx>
          <c:invertIfNegative val="0"/>
          <c:cat>
            <c:strRef>
              <c:f>'1'!$F$50:$F$55</c:f>
              <c:strCache>
                <c:ptCount val="6"/>
                <c:pt idx="0">
                  <c:v>16 - 20</c:v>
                </c:pt>
                <c:pt idx="1">
                  <c:v>21 - 35</c:v>
                </c:pt>
                <c:pt idx="2">
                  <c:v>36 - 45</c:v>
                </c:pt>
                <c:pt idx="3">
                  <c:v>46 - 55</c:v>
                </c:pt>
                <c:pt idx="4">
                  <c:v>56 - 65</c:v>
                </c:pt>
                <c:pt idx="5">
                  <c:v>66+ </c:v>
                </c:pt>
              </c:strCache>
            </c:strRef>
          </c:cat>
          <c:val>
            <c:numRef>
              <c:f>'1'!$G$50:$G$55</c:f>
              <c:numCache>
                <c:formatCode>0.0%</c:formatCode>
                <c:ptCount val="6"/>
                <c:pt idx="0">
                  <c:v>7.293666026871401E-2</c:v>
                </c:pt>
                <c:pt idx="1">
                  <c:v>0.51535508637236083</c:v>
                </c:pt>
                <c:pt idx="2">
                  <c:v>0.1890595009596929</c:v>
                </c:pt>
                <c:pt idx="3">
                  <c:v>0.17946257197696738</c:v>
                </c:pt>
                <c:pt idx="4">
                  <c:v>4.126679462571977E-2</c:v>
                </c:pt>
                <c:pt idx="5">
                  <c:v>1.9193857965451055E-3</c:v>
                </c:pt>
              </c:numCache>
            </c:numRef>
          </c:val>
        </c:ser>
        <c:ser>
          <c:idx val="1"/>
          <c:order val="1"/>
          <c:tx>
            <c:strRef>
              <c:f>'1'!$H$49</c:f>
              <c:strCache>
                <c:ptCount val="1"/>
                <c:pt idx="0">
                  <c:v>Total Shortlisted</c:v>
                </c:pt>
              </c:strCache>
            </c:strRef>
          </c:tx>
          <c:invertIfNegative val="0"/>
          <c:cat>
            <c:strRef>
              <c:f>'1'!$F$50:$F$55</c:f>
              <c:strCache>
                <c:ptCount val="6"/>
                <c:pt idx="0">
                  <c:v>16 - 20</c:v>
                </c:pt>
                <c:pt idx="1">
                  <c:v>21 - 35</c:v>
                </c:pt>
                <c:pt idx="2">
                  <c:v>36 - 45</c:v>
                </c:pt>
                <c:pt idx="3">
                  <c:v>46 - 55</c:v>
                </c:pt>
                <c:pt idx="4">
                  <c:v>56 - 65</c:v>
                </c:pt>
                <c:pt idx="5">
                  <c:v>66+ </c:v>
                </c:pt>
              </c:strCache>
            </c:strRef>
          </c:cat>
          <c:val>
            <c:numRef>
              <c:f>'1'!$H$50:$H$55</c:f>
              <c:numCache>
                <c:formatCode>0.0%</c:formatCode>
                <c:ptCount val="6"/>
                <c:pt idx="0">
                  <c:v>3.3057851239669422E-2</c:v>
                </c:pt>
                <c:pt idx="1">
                  <c:v>0.54545454545454541</c:v>
                </c:pt>
                <c:pt idx="2">
                  <c:v>0.18181818181818182</c:v>
                </c:pt>
                <c:pt idx="3">
                  <c:v>0.19834710743801653</c:v>
                </c:pt>
                <c:pt idx="4">
                  <c:v>4.1322314049586778E-2</c:v>
                </c:pt>
                <c:pt idx="5">
                  <c:v>0</c:v>
                </c:pt>
              </c:numCache>
            </c:numRef>
          </c:val>
        </c:ser>
        <c:ser>
          <c:idx val="2"/>
          <c:order val="2"/>
          <c:tx>
            <c:strRef>
              <c:f>'1'!$I$49</c:f>
              <c:strCache>
                <c:ptCount val="1"/>
                <c:pt idx="0">
                  <c:v>Total Successful</c:v>
                </c:pt>
              </c:strCache>
            </c:strRef>
          </c:tx>
          <c:invertIfNegative val="0"/>
          <c:cat>
            <c:strRef>
              <c:f>'1'!$F$50:$F$55</c:f>
              <c:strCache>
                <c:ptCount val="6"/>
                <c:pt idx="0">
                  <c:v>16 - 20</c:v>
                </c:pt>
                <c:pt idx="1">
                  <c:v>21 - 35</c:v>
                </c:pt>
                <c:pt idx="2">
                  <c:v>36 - 45</c:v>
                </c:pt>
                <c:pt idx="3">
                  <c:v>46 - 55</c:v>
                </c:pt>
                <c:pt idx="4">
                  <c:v>56 - 65</c:v>
                </c:pt>
                <c:pt idx="5">
                  <c:v>66+ </c:v>
                </c:pt>
              </c:strCache>
            </c:strRef>
          </c:cat>
          <c:val>
            <c:numRef>
              <c:f>'1'!$I$50:$I$55</c:f>
              <c:numCache>
                <c:formatCode>0.0%</c:formatCode>
                <c:ptCount val="6"/>
                <c:pt idx="0">
                  <c:v>6.7796610169491525E-2</c:v>
                </c:pt>
                <c:pt idx="1">
                  <c:v>0.42372881355932202</c:v>
                </c:pt>
                <c:pt idx="2">
                  <c:v>0.2711864406779661</c:v>
                </c:pt>
                <c:pt idx="3">
                  <c:v>0.16949152542372881</c:v>
                </c:pt>
                <c:pt idx="4">
                  <c:v>6.7796610169491525E-2</c:v>
                </c:pt>
                <c:pt idx="5">
                  <c:v>0</c:v>
                </c:pt>
              </c:numCache>
            </c:numRef>
          </c:val>
        </c:ser>
        <c:dLbls>
          <c:showLegendKey val="0"/>
          <c:showVal val="0"/>
          <c:showCatName val="0"/>
          <c:showSerName val="0"/>
          <c:showPercent val="0"/>
          <c:showBubbleSize val="0"/>
        </c:dLbls>
        <c:gapWidth val="150"/>
        <c:axId val="79370112"/>
        <c:axId val="79371648"/>
      </c:barChart>
      <c:catAx>
        <c:axId val="79370112"/>
        <c:scaling>
          <c:orientation val="minMax"/>
        </c:scaling>
        <c:delete val="0"/>
        <c:axPos val="b"/>
        <c:majorTickMark val="out"/>
        <c:minorTickMark val="none"/>
        <c:tickLblPos val="nextTo"/>
        <c:crossAx val="79371648"/>
        <c:crosses val="autoZero"/>
        <c:auto val="1"/>
        <c:lblAlgn val="ctr"/>
        <c:lblOffset val="100"/>
        <c:noMultiLvlLbl val="0"/>
      </c:catAx>
      <c:valAx>
        <c:axId val="79371648"/>
        <c:scaling>
          <c:orientation val="minMax"/>
        </c:scaling>
        <c:delete val="0"/>
        <c:axPos val="l"/>
        <c:majorGridlines/>
        <c:numFmt formatCode="0.0%" sourceLinked="1"/>
        <c:majorTickMark val="out"/>
        <c:minorTickMark val="none"/>
        <c:tickLblPos val="nextTo"/>
        <c:crossAx val="793701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'1'!$G$3</c:f>
              <c:strCache>
                <c:ptCount val="1"/>
                <c:pt idx="0">
                  <c:v>Total Submitted</c:v>
                </c:pt>
              </c:strCache>
            </c:strRef>
          </c:tx>
          <c:invertIfNegative val="0"/>
          <c:cat>
            <c:strRef>
              <c:f>'1'!$F$4:$F$5</c:f>
              <c:strCache>
                <c:ptCount val="2"/>
                <c:pt idx="0">
                  <c:v>Female</c:v>
                </c:pt>
                <c:pt idx="1">
                  <c:v>Male</c:v>
                </c:pt>
              </c:strCache>
            </c:strRef>
          </c:cat>
          <c:val>
            <c:numRef>
              <c:f>'1'!$G$4:$G$5</c:f>
              <c:numCache>
                <c:formatCode>0.0%</c:formatCode>
                <c:ptCount val="2"/>
                <c:pt idx="0">
                  <c:v>0.57115749525616699</c:v>
                </c:pt>
                <c:pt idx="1">
                  <c:v>0.42884250474383301</c:v>
                </c:pt>
              </c:numCache>
            </c:numRef>
          </c:val>
        </c:ser>
        <c:ser>
          <c:idx val="1"/>
          <c:order val="1"/>
          <c:tx>
            <c:strRef>
              <c:f>'1'!$H$3</c:f>
              <c:strCache>
                <c:ptCount val="1"/>
                <c:pt idx="0">
                  <c:v>Total Shortlisted</c:v>
                </c:pt>
              </c:strCache>
            </c:strRef>
          </c:tx>
          <c:invertIfNegative val="0"/>
          <c:cat>
            <c:strRef>
              <c:f>'1'!$F$4:$F$5</c:f>
              <c:strCache>
                <c:ptCount val="2"/>
                <c:pt idx="0">
                  <c:v>Female</c:v>
                </c:pt>
                <c:pt idx="1">
                  <c:v>Male</c:v>
                </c:pt>
              </c:strCache>
            </c:strRef>
          </c:cat>
          <c:val>
            <c:numRef>
              <c:f>'1'!$H$4:$H$5</c:f>
              <c:numCache>
                <c:formatCode>0.0%</c:formatCode>
                <c:ptCount val="2"/>
                <c:pt idx="0">
                  <c:v>0.62809917355371903</c:v>
                </c:pt>
                <c:pt idx="1">
                  <c:v>0.37190082644628097</c:v>
                </c:pt>
              </c:numCache>
            </c:numRef>
          </c:val>
        </c:ser>
        <c:ser>
          <c:idx val="2"/>
          <c:order val="2"/>
          <c:tx>
            <c:strRef>
              <c:f>'1'!$I$3</c:f>
              <c:strCache>
                <c:ptCount val="1"/>
                <c:pt idx="0">
                  <c:v>Total Successful</c:v>
                </c:pt>
              </c:strCache>
            </c:strRef>
          </c:tx>
          <c:invertIfNegative val="0"/>
          <c:cat>
            <c:strRef>
              <c:f>'1'!$F$4:$F$5</c:f>
              <c:strCache>
                <c:ptCount val="2"/>
                <c:pt idx="0">
                  <c:v>Female</c:v>
                </c:pt>
                <c:pt idx="1">
                  <c:v>Male</c:v>
                </c:pt>
              </c:strCache>
            </c:strRef>
          </c:cat>
          <c:val>
            <c:numRef>
              <c:f>'1'!$I$4:$I$5</c:f>
              <c:numCache>
                <c:formatCode>0.0%</c:formatCode>
                <c:ptCount val="2"/>
                <c:pt idx="0">
                  <c:v>0.77049180327868849</c:v>
                </c:pt>
                <c:pt idx="1">
                  <c:v>0.22950819672131148</c:v>
                </c:pt>
              </c:numCache>
            </c:numRef>
          </c:val>
        </c:ser>
        <c:dLbls>
          <c:showLegendKey val="0"/>
          <c:showVal val="0"/>
          <c:showCatName val="0"/>
          <c:showSerName val="0"/>
          <c:showPercent val="0"/>
          <c:showBubbleSize val="0"/>
        </c:dLbls>
        <c:gapWidth val="150"/>
        <c:axId val="79401728"/>
        <c:axId val="79403264"/>
      </c:barChart>
      <c:catAx>
        <c:axId val="79401728"/>
        <c:scaling>
          <c:orientation val="minMax"/>
        </c:scaling>
        <c:delete val="0"/>
        <c:axPos val="b"/>
        <c:majorTickMark val="out"/>
        <c:minorTickMark val="none"/>
        <c:tickLblPos val="nextTo"/>
        <c:crossAx val="79403264"/>
        <c:crosses val="autoZero"/>
        <c:auto val="1"/>
        <c:lblAlgn val="ctr"/>
        <c:lblOffset val="100"/>
        <c:noMultiLvlLbl val="0"/>
      </c:catAx>
      <c:valAx>
        <c:axId val="79403264"/>
        <c:scaling>
          <c:orientation val="minMax"/>
        </c:scaling>
        <c:delete val="0"/>
        <c:axPos val="l"/>
        <c:majorGridlines/>
        <c:numFmt formatCode="0.0%" sourceLinked="1"/>
        <c:majorTickMark val="out"/>
        <c:minorTickMark val="none"/>
        <c:tickLblPos val="nextTo"/>
        <c:crossAx val="794017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6.9552922046360363E-2"/>
          <c:y val="5.1400554097404488E-2"/>
          <c:w val="0.74893307528478137"/>
          <c:h val="0.75087853601633125"/>
        </c:manualLayout>
      </c:layout>
      <c:lineChart>
        <c:grouping val="standard"/>
        <c:varyColors val="0"/>
        <c:ser>
          <c:idx val="0"/>
          <c:order val="0"/>
          <c:tx>
            <c:strRef>
              <c:f>'2.1'!$B$1</c:f>
              <c:strCache>
                <c:ptCount val="1"/>
                <c:pt idx="0">
                  <c:v>Permanent Staff Headcount</c:v>
                </c:pt>
              </c:strCache>
            </c:strRef>
          </c:tx>
          <c:marker>
            <c:symbol val="none"/>
          </c:marker>
          <c:cat>
            <c:numRef>
              <c:f>'2.1'!$A$14:$A$49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'2.1'!$B$14:$B$49</c:f>
              <c:numCache>
                <c:formatCode>General</c:formatCode>
                <c:ptCount val="36"/>
                <c:pt idx="0">
                  <c:v>832</c:v>
                </c:pt>
                <c:pt idx="1">
                  <c:v>837</c:v>
                </c:pt>
                <c:pt idx="2">
                  <c:v>839</c:v>
                </c:pt>
                <c:pt idx="3">
                  <c:v>847</c:v>
                </c:pt>
                <c:pt idx="4">
                  <c:v>852</c:v>
                </c:pt>
                <c:pt idx="5">
                  <c:v>866</c:v>
                </c:pt>
                <c:pt idx="6">
                  <c:v>872</c:v>
                </c:pt>
                <c:pt idx="7">
                  <c:v>886</c:v>
                </c:pt>
                <c:pt idx="8">
                  <c:v>890</c:v>
                </c:pt>
                <c:pt idx="9">
                  <c:v>885</c:v>
                </c:pt>
                <c:pt idx="10">
                  <c:v>881</c:v>
                </c:pt>
                <c:pt idx="11">
                  <c:v>879</c:v>
                </c:pt>
                <c:pt idx="12">
                  <c:v>862</c:v>
                </c:pt>
                <c:pt idx="13">
                  <c:v>862</c:v>
                </c:pt>
                <c:pt idx="14">
                  <c:v>865</c:v>
                </c:pt>
                <c:pt idx="15">
                  <c:v>866</c:v>
                </c:pt>
                <c:pt idx="16">
                  <c:v>862</c:v>
                </c:pt>
                <c:pt idx="17">
                  <c:v>862</c:v>
                </c:pt>
                <c:pt idx="18">
                  <c:v>865</c:v>
                </c:pt>
                <c:pt idx="19">
                  <c:v>862</c:v>
                </c:pt>
                <c:pt idx="20">
                  <c:v>858</c:v>
                </c:pt>
                <c:pt idx="21">
                  <c:v>858</c:v>
                </c:pt>
                <c:pt idx="22">
                  <c:v>857</c:v>
                </c:pt>
                <c:pt idx="23">
                  <c:v>858</c:v>
                </c:pt>
                <c:pt idx="24">
                  <c:v>846</c:v>
                </c:pt>
                <c:pt idx="25">
                  <c:v>845</c:v>
                </c:pt>
                <c:pt idx="26">
                  <c:v>841</c:v>
                </c:pt>
                <c:pt idx="27">
                  <c:v>842</c:v>
                </c:pt>
                <c:pt idx="28">
                  <c:v>839</c:v>
                </c:pt>
                <c:pt idx="29">
                  <c:v>842</c:v>
                </c:pt>
                <c:pt idx="30">
                  <c:v>895</c:v>
                </c:pt>
                <c:pt idx="31">
                  <c:v>894</c:v>
                </c:pt>
                <c:pt idx="32">
                  <c:v>895</c:v>
                </c:pt>
                <c:pt idx="33">
                  <c:v>892</c:v>
                </c:pt>
                <c:pt idx="34">
                  <c:v>888</c:v>
                </c:pt>
                <c:pt idx="35">
                  <c:v>863</c:v>
                </c:pt>
              </c:numCache>
            </c:numRef>
          </c:val>
          <c:smooth val="0"/>
        </c:ser>
        <c:ser>
          <c:idx val="1"/>
          <c:order val="1"/>
          <c:tx>
            <c:strRef>
              <c:f>'2.1'!$C$1</c:f>
              <c:strCache>
                <c:ptCount val="1"/>
                <c:pt idx="0">
                  <c:v>Sessional Staff Headcount</c:v>
                </c:pt>
              </c:strCache>
            </c:strRef>
          </c:tx>
          <c:marker>
            <c:symbol val="none"/>
          </c:marker>
          <c:cat>
            <c:numRef>
              <c:f>'2.1'!$A$14:$A$49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'2.1'!$C$14:$C$49</c:f>
              <c:numCache>
                <c:formatCode>General</c:formatCode>
                <c:ptCount val="36"/>
                <c:pt idx="0">
                  <c:v>207</c:v>
                </c:pt>
                <c:pt idx="1">
                  <c:v>205</c:v>
                </c:pt>
                <c:pt idx="2">
                  <c:v>224</c:v>
                </c:pt>
                <c:pt idx="3">
                  <c:v>239</c:v>
                </c:pt>
                <c:pt idx="4">
                  <c:v>234</c:v>
                </c:pt>
                <c:pt idx="5">
                  <c:v>252</c:v>
                </c:pt>
                <c:pt idx="6">
                  <c:v>263</c:v>
                </c:pt>
                <c:pt idx="7">
                  <c:v>256</c:v>
                </c:pt>
                <c:pt idx="8">
                  <c:v>266</c:v>
                </c:pt>
                <c:pt idx="9">
                  <c:v>266</c:v>
                </c:pt>
                <c:pt idx="10">
                  <c:v>265</c:v>
                </c:pt>
                <c:pt idx="11">
                  <c:v>243</c:v>
                </c:pt>
                <c:pt idx="12">
                  <c:v>236</c:v>
                </c:pt>
                <c:pt idx="13">
                  <c:v>228</c:v>
                </c:pt>
                <c:pt idx="14">
                  <c:v>230</c:v>
                </c:pt>
                <c:pt idx="15">
                  <c:v>243</c:v>
                </c:pt>
                <c:pt idx="16">
                  <c:v>237</c:v>
                </c:pt>
                <c:pt idx="17">
                  <c:v>238</c:v>
                </c:pt>
                <c:pt idx="18">
                  <c:v>236</c:v>
                </c:pt>
                <c:pt idx="19">
                  <c:v>236</c:v>
                </c:pt>
                <c:pt idx="20">
                  <c:v>219</c:v>
                </c:pt>
                <c:pt idx="21">
                  <c:v>211</c:v>
                </c:pt>
                <c:pt idx="22">
                  <c:v>210</c:v>
                </c:pt>
                <c:pt idx="23">
                  <c:v>201</c:v>
                </c:pt>
                <c:pt idx="24">
                  <c:v>199</c:v>
                </c:pt>
                <c:pt idx="25">
                  <c:v>212</c:v>
                </c:pt>
                <c:pt idx="26">
                  <c:v>218</c:v>
                </c:pt>
                <c:pt idx="27">
                  <c:v>220</c:v>
                </c:pt>
                <c:pt idx="28">
                  <c:v>211</c:v>
                </c:pt>
                <c:pt idx="29">
                  <c:v>207</c:v>
                </c:pt>
                <c:pt idx="30">
                  <c:v>211</c:v>
                </c:pt>
                <c:pt idx="31">
                  <c:v>213</c:v>
                </c:pt>
                <c:pt idx="32">
                  <c:v>212</c:v>
                </c:pt>
                <c:pt idx="33">
                  <c:v>209</c:v>
                </c:pt>
                <c:pt idx="34">
                  <c:v>209</c:v>
                </c:pt>
                <c:pt idx="35">
                  <c:v>204</c:v>
                </c:pt>
              </c:numCache>
            </c:numRef>
          </c:val>
          <c:smooth val="0"/>
        </c:ser>
        <c:dLbls>
          <c:showLegendKey val="0"/>
          <c:showVal val="0"/>
          <c:showCatName val="0"/>
          <c:showSerName val="0"/>
          <c:showPercent val="0"/>
          <c:showBubbleSize val="0"/>
        </c:dLbls>
        <c:marker val="1"/>
        <c:smooth val="0"/>
        <c:axId val="79510528"/>
        <c:axId val="79516416"/>
      </c:lineChart>
      <c:dateAx>
        <c:axId val="79510528"/>
        <c:scaling>
          <c:orientation val="minMax"/>
        </c:scaling>
        <c:delete val="0"/>
        <c:axPos val="b"/>
        <c:numFmt formatCode="mmm\-yy" sourceLinked="1"/>
        <c:majorTickMark val="out"/>
        <c:minorTickMark val="none"/>
        <c:tickLblPos val="nextTo"/>
        <c:crossAx val="79516416"/>
        <c:crosses val="autoZero"/>
        <c:auto val="1"/>
        <c:lblOffset val="100"/>
        <c:baseTimeUnit val="months"/>
      </c:dateAx>
      <c:valAx>
        <c:axId val="79516416"/>
        <c:scaling>
          <c:orientation val="minMax"/>
          <c:min val="150"/>
        </c:scaling>
        <c:delete val="0"/>
        <c:axPos val="l"/>
        <c:majorGridlines/>
        <c:numFmt formatCode="General" sourceLinked="1"/>
        <c:majorTickMark val="out"/>
        <c:minorTickMark val="none"/>
        <c:tickLblPos val="nextTo"/>
        <c:crossAx val="79510528"/>
        <c:crosses val="autoZero"/>
        <c:crossBetween val="between"/>
        <c:majorUnit val="200"/>
      </c:valAx>
    </c:plotArea>
    <c:legend>
      <c:legendPos val="r"/>
      <c:layout>
        <c:manualLayout>
          <c:xMode val="edge"/>
          <c:yMode val="edge"/>
          <c:x val="0.81322003941426513"/>
          <c:y val="7.8319845435987162E-2"/>
          <c:w val="0.17331194711772138"/>
          <c:h val="0.6026195683872849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9787898134354834E-2"/>
          <c:y val="5.1400554097404488E-2"/>
          <c:w val="0.73610058877775408"/>
          <c:h val="0.74530475357247006"/>
        </c:manualLayout>
      </c:layout>
      <c:lineChart>
        <c:grouping val="standard"/>
        <c:varyColors val="0"/>
        <c:ser>
          <c:idx val="0"/>
          <c:order val="0"/>
          <c:tx>
            <c:strRef>
              <c:f>'2.1 b'!$B$1</c:f>
              <c:strCache>
                <c:ptCount val="1"/>
                <c:pt idx="0">
                  <c:v>Delivery Staff Headcount</c:v>
                </c:pt>
              </c:strCache>
            </c:strRef>
          </c:tx>
          <c:marker>
            <c:symbol val="none"/>
          </c:marker>
          <c:cat>
            <c:numRef>
              <c:f>'2.1 b'!$A$14:$A$49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 b'!$B$14:$B$49</c:f>
              <c:numCache>
                <c:formatCode>General</c:formatCode>
                <c:ptCount val="36"/>
                <c:pt idx="0">
                  <c:v>603</c:v>
                </c:pt>
                <c:pt idx="1">
                  <c:v>605</c:v>
                </c:pt>
                <c:pt idx="2">
                  <c:v>624</c:v>
                </c:pt>
                <c:pt idx="3">
                  <c:v>644</c:v>
                </c:pt>
                <c:pt idx="4">
                  <c:v>644</c:v>
                </c:pt>
                <c:pt idx="5">
                  <c:v>653</c:v>
                </c:pt>
                <c:pt idx="6">
                  <c:v>658</c:v>
                </c:pt>
                <c:pt idx="7">
                  <c:v>658</c:v>
                </c:pt>
                <c:pt idx="8">
                  <c:v>672</c:v>
                </c:pt>
                <c:pt idx="9">
                  <c:v>665</c:v>
                </c:pt>
                <c:pt idx="10">
                  <c:v>670</c:v>
                </c:pt>
                <c:pt idx="11">
                  <c:v>656</c:v>
                </c:pt>
                <c:pt idx="12">
                  <c:v>522</c:v>
                </c:pt>
                <c:pt idx="13">
                  <c:v>512</c:v>
                </c:pt>
                <c:pt idx="14">
                  <c:v>512</c:v>
                </c:pt>
                <c:pt idx="15">
                  <c:v>525</c:v>
                </c:pt>
                <c:pt idx="16">
                  <c:v>510</c:v>
                </c:pt>
                <c:pt idx="17">
                  <c:v>513</c:v>
                </c:pt>
                <c:pt idx="18">
                  <c:v>510</c:v>
                </c:pt>
                <c:pt idx="19">
                  <c:v>512</c:v>
                </c:pt>
                <c:pt idx="20">
                  <c:v>496</c:v>
                </c:pt>
                <c:pt idx="21">
                  <c:v>492</c:v>
                </c:pt>
                <c:pt idx="22">
                  <c:v>491</c:v>
                </c:pt>
                <c:pt idx="23">
                  <c:v>486</c:v>
                </c:pt>
                <c:pt idx="24">
                  <c:v>481</c:v>
                </c:pt>
                <c:pt idx="25">
                  <c:v>483</c:v>
                </c:pt>
                <c:pt idx="26">
                  <c:v>482</c:v>
                </c:pt>
                <c:pt idx="27">
                  <c:v>484</c:v>
                </c:pt>
                <c:pt idx="28">
                  <c:v>477</c:v>
                </c:pt>
                <c:pt idx="29">
                  <c:v>476</c:v>
                </c:pt>
                <c:pt idx="30">
                  <c:v>477</c:v>
                </c:pt>
                <c:pt idx="31">
                  <c:v>477</c:v>
                </c:pt>
                <c:pt idx="32">
                  <c:v>473</c:v>
                </c:pt>
                <c:pt idx="33">
                  <c:v>468</c:v>
                </c:pt>
                <c:pt idx="34">
                  <c:v>466</c:v>
                </c:pt>
                <c:pt idx="35">
                  <c:v>451</c:v>
                </c:pt>
              </c:numCache>
            </c:numRef>
          </c:val>
          <c:smooth val="0"/>
        </c:ser>
        <c:ser>
          <c:idx val="1"/>
          <c:order val="1"/>
          <c:tx>
            <c:strRef>
              <c:f>'2.1 b'!$C$1</c:f>
              <c:strCache>
                <c:ptCount val="1"/>
                <c:pt idx="0">
                  <c:v>Delivery Staff FTE</c:v>
                </c:pt>
              </c:strCache>
            </c:strRef>
          </c:tx>
          <c:marker>
            <c:symbol val="none"/>
          </c:marker>
          <c:cat>
            <c:numRef>
              <c:f>'2.1 b'!$A$14:$A$49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 b'!$C$14:$C$49</c:f>
              <c:numCache>
                <c:formatCode>General</c:formatCode>
                <c:ptCount val="36"/>
                <c:pt idx="0">
                  <c:v>376.44594594594594</c:v>
                </c:pt>
                <c:pt idx="1">
                  <c:v>378.79594594594596</c:v>
                </c:pt>
                <c:pt idx="2">
                  <c:v>383.77837837837836</c:v>
                </c:pt>
                <c:pt idx="3">
                  <c:v>389.29054054054052</c:v>
                </c:pt>
                <c:pt idx="4">
                  <c:v>393.90945945945947</c:v>
                </c:pt>
                <c:pt idx="5">
                  <c:v>397.46486486486486</c:v>
                </c:pt>
                <c:pt idx="6">
                  <c:v>396.4283783783784</c:v>
                </c:pt>
                <c:pt idx="7">
                  <c:v>400.9283783783784</c:v>
                </c:pt>
                <c:pt idx="8">
                  <c:v>408.87567567567567</c:v>
                </c:pt>
                <c:pt idx="9">
                  <c:v>408.41891891891891</c:v>
                </c:pt>
                <c:pt idx="10">
                  <c:v>409.82567567567565</c:v>
                </c:pt>
                <c:pt idx="11">
                  <c:v>404.65054054054053</c:v>
                </c:pt>
                <c:pt idx="12">
                  <c:v>350.67081081081079</c:v>
                </c:pt>
                <c:pt idx="13">
                  <c:v>347.01297297297299</c:v>
                </c:pt>
                <c:pt idx="14">
                  <c:v>346.51540540540537</c:v>
                </c:pt>
                <c:pt idx="15">
                  <c:v>344.83837837837837</c:v>
                </c:pt>
                <c:pt idx="16">
                  <c:v>340.18918918918916</c:v>
                </c:pt>
                <c:pt idx="17">
                  <c:v>342.45135135135138</c:v>
                </c:pt>
                <c:pt idx="18">
                  <c:v>350.97972972972974</c:v>
                </c:pt>
                <c:pt idx="19">
                  <c:v>337.60324324324324</c:v>
                </c:pt>
                <c:pt idx="20">
                  <c:v>337.08702702702703</c:v>
                </c:pt>
                <c:pt idx="21">
                  <c:v>335.57351351351349</c:v>
                </c:pt>
                <c:pt idx="22">
                  <c:v>337.71675675675675</c:v>
                </c:pt>
                <c:pt idx="23">
                  <c:v>335.80270270270273</c:v>
                </c:pt>
                <c:pt idx="24">
                  <c:v>333.1</c:v>
                </c:pt>
                <c:pt idx="25">
                  <c:v>329.9</c:v>
                </c:pt>
                <c:pt idx="26">
                  <c:v>327.9</c:v>
                </c:pt>
                <c:pt idx="27">
                  <c:v>328.8</c:v>
                </c:pt>
                <c:pt idx="28">
                  <c:v>325.3</c:v>
                </c:pt>
                <c:pt idx="29">
                  <c:v>331.7</c:v>
                </c:pt>
                <c:pt idx="30">
                  <c:v>328.7</c:v>
                </c:pt>
                <c:pt idx="31">
                  <c:v>326.89999999999998</c:v>
                </c:pt>
                <c:pt idx="32">
                  <c:v>324</c:v>
                </c:pt>
                <c:pt idx="33">
                  <c:v>324.39999999999998</c:v>
                </c:pt>
                <c:pt idx="34">
                  <c:v>322.10000000000002</c:v>
                </c:pt>
                <c:pt idx="35">
                  <c:v>311.7</c:v>
                </c:pt>
              </c:numCache>
            </c:numRef>
          </c:val>
          <c:smooth val="0"/>
        </c:ser>
        <c:ser>
          <c:idx val="2"/>
          <c:order val="2"/>
          <c:tx>
            <c:strRef>
              <c:f>'2.1 b'!$D$1</c:f>
              <c:strCache>
                <c:ptCount val="1"/>
                <c:pt idx="0">
                  <c:v>Support Staff Headcount</c:v>
                </c:pt>
              </c:strCache>
            </c:strRef>
          </c:tx>
          <c:marker>
            <c:symbol val="none"/>
          </c:marker>
          <c:cat>
            <c:numRef>
              <c:f>'2.1 b'!$A$14:$A$49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 b'!$D$14:$D$49</c:f>
              <c:numCache>
                <c:formatCode>General</c:formatCode>
                <c:ptCount val="36"/>
                <c:pt idx="0">
                  <c:v>539</c:v>
                </c:pt>
                <c:pt idx="1">
                  <c:v>542</c:v>
                </c:pt>
                <c:pt idx="2">
                  <c:v>548</c:v>
                </c:pt>
                <c:pt idx="3">
                  <c:v>555</c:v>
                </c:pt>
                <c:pt idx="4">
                  <c:v>555</c:v>
                </c:pt>
                <c:pt idx="5">
                  <c:v>579</c:v>
                </c:pt>
                <c:pt idx="6">
                  <c:v>598</c:v>
                </c:pt>
                <c:pt idx="7">
                  <c:v>604</c:v>
                </c:pt>
                <c:pt idx="8">
                  <c:v>613</c:v>
                </c:pt>
                <c:pt idx="9">
                  <c:v>608</c:v>
                </c:pt>
                <c:pt idx="10">
                  <c:v>600</c:v>
                </c:pt>
                <c:pt idx="11">
                  <c:v>596</c:v>
                </c:pt>
                <c:pt idx="12">
                  <c:v>576</c:v>
                </c:pt>
                <c:pt idx="13">
                  <c:v>578</c:v>
                </c:pt>
                <c:pt idx="14">
                  <c:v>583</c:v>
                </c:pt>
                <c:pt idx="15">
                  <c:v>584</c:v>
                </c:pt>
                <c:pt idx="16">
                  <c:v>589</c:v>
                </c:pt>
                <c:pt idx="17">
                  <c:v>587</c:v>
                </c:pt>
                <c:pt idx="18">
                  <c:v>591</c:v>
                </c:pt>
                <c:pt idx="19">
                  <c:v>586</c:v>
                </c:pt>
                <c:pt idx="20">
                  <c:v>581</c:v>
                </c:pt>
                <c:pt idx="21">
                  <c:v>577</c:v>
                </c:pt>
                <c:pt idx="22">
                  <c:v>576</c:v>
                </c:pt>
                <c:pt idx="23">
                  <c:v>573</c:v>
                </c:pt>
                <c:pt idx="24">
                  <c:v>564</c:v>
                </c:pt>
                <c:pt idx="25">
                  <c:v>574</c:v>
                </c:pt>
                <c:pt idx="26">
                  <c:v>577</c:v>
                </c:pt>
                <c:pt idx="27">
                  <c:v>578</c:v>
                </c:pt>
                <c:pt idx="28">
                  <c:v>573</c:v>
                </c:pt>
                <c:pt idx="29">
                  <c:v>573</c:v>
                </c:pt>
                <c:pt idx="30">
                  <c:v>629</c:v>
                </c:pt>
                <c:pt idx="31">
                  <c:v>630</c:v>
                </c:pt>
                <c:pt idx="32">
                  <c:v>643</c:v>
                </c:pt>
                <c:pt idx="33">
                  <c:v>633</c:v>
                </c:pt>
                <c:pt idx="34">
                  <c:v>631</c:v>
                </c:pt>
                <c:pt idx="35">
                  <c:v>616</c:v>
                </c:pt>
              </c:numCache>
            </c:numRef>
          </c:val>
          <c:smooth val="0"/>
        </c:ser>
        <c:ser>
          <c:idx val="3"/>
          <c:order val="3"/>
          <c:tx>
            <c:strRef>
              <c:f>'2.1 b'!$E$1</c:f>
              <c:strCache>
                <c:ptCount val="1"/>
                <c:pt idx="0">
                  <c:v>Support Staff FTE</c:v>
                </c:pt>
              </c:strCache>
            </c:strRef>
          </c:tx>
          <c:marker>
            <c:symbol val="none"/>
          </c:marker>
          <c:cat>
            <c:numRef>
              <c:f>'2.1 b'!$A$14:$A$49</c:f>
              <c:numCache>
                <c:formatCode>mmm\-yy</c:formatCode>
                <c:ptCount val="36"/>
                <c:pt idx="0">
                  <c:v>39692</c:v>
                </c:pt>
                <c:pt idx="1">
                  <c:v>39722</c:v>
                </c:pt>
                <c:pt idx="2">
                  <c:v>39753</c:v>
                </c:pt>
                <c:pt idx="3">
                  <c:v>39783</c:v>
                </c:pt>
                <c:pt idx="4">
                  <c:v>39814</c:v>
                </c:pt>
                <c:pt idx="5">
                  <c:v>39845</c:v>
                </c:pt>
                <c:pt idx="6">
                  <c:v>39873</c:v>
                </c:pt>
                <c:pt idx="7">
                  <c:v>39904</c:v>
                </c:pt>
                <c:pt idx="8">
                  <c:v>39934</c:v>
                </c:pt>
                <c:pt idx="9">
                  <c:v>39965</c:v>
                </c:pt>
                <c:pt idx="10">
                  <c:v>39995</c:v>
                </c:pt>
                <c:pt idx="11">
                  <c:v>40026</c:v>
                </c:pt>
                <c:pt idx="12">
                  <c:v>40057</c:v>
                </c:pt>
                <c:pt idx="13">
                  <c:v>40087</c:v>
                </c:pt>
                <c:pt idx="14">
                  <c:v>40118</c:v>
                </c:pt>
                <c:pt idx="15">
                  <c:v>40148</c:v>
                </c:pt>
                <c:pt idx="16">
                  <c:v>40179</c:v>
                </c:pt>
                <c:pt idx="17">
                  <c:v>40210</c:v>
                </c:pt>
                <c:pt idx="18">
                  <c:v>40238</c:v>
                </c:pt>
                <c:pt idx="19">
                  <c:v>40269</c:v>
                </c:pt>
                <c:pt idx="20">
                  <c:v>40299</c:v>
                </c:pt>
                <c:pt idx="21">
                  <c:v>40330</c:v>
                </c:pt>
                <c:pt idx="22">
                  <c:v>40360</c:v>
                </c:pt>
                <c:pt idx="23">
                  <c:v>40391</c:v>
                </c:pt>
                <c:pt idx="24">
                  <c:v>40422</c:v>
                </c:pt>
                <c:pt idx="25">
                  <c:v>40452</c:v>
                </c:pt>
                <c:pt idx="26">
                  <c:v>40483</c:v>
                </c:pt>
                <c:pt idx="27">
                  <c:v>40513</c:v>
                </c:pt>
                <c:pt idx="28">
                  <c:v>40544</c:v>
                </c:pt>
                <c:pt idx="29">
                  <c:v>40575</c:v>
                </c:pt>
                <c:pt idx="30">
                  <c:v>40603</c:v>
                </c:pt>
                <c:pt idx="31">
                  <c:v>40634</c:v>
                </c:pt>
                <c:pt idx="32">
                  <c:v>40664</c:v>
                </c:pt>
                <c:pt idx="33">
                  <c:v>40695</c:v>
                </c:pt>
                <c:pt idx="34">
                  <c:v>40725</c:v>
                </c:pt>
                <c:pt idx="35">
                  <c:v>40756</c:v>
                </c:pt>
              </c:numCache>
            </c:numRef>
          </c:cat>
          <c:val>
            <c:numRef>
              <c:f>'2.1 b'!$E$14:$E$49</c:f>
              <c:numCache>
                <c:formatCode>General</c:formatCode>
                <c:ptCount val="36"/>
                <c:pt idx="0">
                  <c:v>429.16891891891891</c:v>
                </c:pt>
                <c:pt idx="1">
                  <c:v>431.06621621621622</c:v>
                </c:pt>
                <c:pt idx="2">
                  <c:v>436.36621621621617</c:v>
                </c:pt>
                <c:pt idx="3">
                  <c:v>433.33918918918914</c:v>
                </c:pt>
                <c:pt idx="4">
                  <c:v>434.24459459459456</c:v>
                </c:pt>
                <c:pt idx="5">
                  <c:v>445.66891891891891</c:v>
                </c:pt>
                <c:pt idx="6">
                  <c:v>453.25189189189189</c:v>
                </c:pt>
                <c:pt idx="7">
                  <c:v>459.75540540540544</c:v>
                </c:pt>
                <c:pt idx="8">
                  <c:v>461.60135135135135</c:v>
                </c:pt>
                <c:pt idx="9">
                  <c:v>456.10540540540546</c:v>
                </c:pt>
                <c:pt idx="10">
                  <c:v>453.62837837837839</c:v>
                </c:pt>
                <c:pt idx="11">
                  <c:v>452.78243243243247</c:v>
                </c:pt>
                <c:pt idx="12">
                  <c:v>437.45</c:v>
                </c:pt>
                <c:pt idx="13">
                  <c:v>440.82297297297299</c:v>
                </c:pt>
                <c:pt idx="14">
                  <c:v>443.40405405405409</c:v>
                </c:pt>
                <c:pt idx="15">
                  <c:v>443.92027027027024</c:v>
                </c:pt>
                <c:pt idx="16">
                  <c:v>444.81756756756755</c:v>
                </c:pt>
                <c:pt idx="17">
                  <c:v>441.42297297297296</c:v>
                </c:pt>
                <c:pt idx="18">
                  <c:v>449.13243243243249</c:v>
                </c:pt>
                <c:pt idx="19">
                  <c:v>444.23513513513518</c:v>
                </c:pt>
                <c:pt idx="20">
                  <c:v>441.13513513513516</c:v>
                </c:pt>
                <c:pt idx="21">
                  <c:v>441.94864864864866</c:v>
                </c:pt>
                <c:pt idx="22">
                  <c:v>442.21756756756753</c:v>
                </c:pt>
                <c:pt idx="23">
                  <c:v>445.98378378378385</c:v>
                </c:pt>
                <c:pt idx="24">
                  <c:v>438.3</c:v>
                </c:pt>
                <c:pt idx="25">
                  <c:v>439.6</c:v>
                </c:pt>
                <c:pt idx="26">
                  <c:v>435.5</c:v>
                </c:pt>
                <c:pt idx="27">
                  <c:v>434.3</c:v>
                </c:pt>
                <c:pt idx="28">
                  <c:v>428.5</c:v>
                </c:pt>
                <c:pt idx="29">
                  <c:v>425.5</c:v>
                </c:pt>
                <c:pt idx="30">
                  <c:v>443.5</c:v>
                </c:pt>
                <c:pt idx="31">
                  <c:v>443.7</c:v>
                </c:pt>
                <c:pt idx="32">
                  <c:v>446.3</c:v>
                </c:pt>
                <c:pt idx="33">
                  <c:v>444</c:v>
                </c:pt>
                <c:pt idx="34">
                  <c:v>440.3</c:v>
                </c:pt>
                <c:pt idx="35">
                  <c:v>429</c:v>
                </c:pt>
              </c:numCache>
            </c:numRef>
          </c:val>
          <c:smooth val="0"/>
        </c:ser>
        <c:dLbls>
          <c:showLegendKey val="0"/>
          <c:showVal val="0"/>
          <c:showCatName val="0"/>
          <c:showSerName val="0"/>
          <c:showPercent val="0"/>
          <c:showBubbleSize val="0"/>
        </c:dLbls>
        <c:marker val="1"/>
        <c:smooth val="0"/>
        <c:axId val="79542912"/>
        <c:axId val="79556992"/>
      </c:lineChart>
      <c:dateAx>
        <c:axId val="79542912"/>
        <c:scaling>
          <c:orientation val="minMax"/>
        </c:scaling>
        <c:delete val="0"/>
        <c:axPos val="b"/>
        <c:numFmt formatCode="mmm\-yy" sourceLinked="1"/>
        <c:majorTickMark val="out"/>
        <c:minorTickMark val="none"/>
        <c:tickLblPos val="nextTo"/>
        <c:crossAx val="79556992"/>
        <c:crosses val="autoZero"/>
        <c:auto val="1"/>
        <c:lblOffset val="100"/>
        <c:baseTimeUnit val="months"/>
      </c:dateAx>
      <c:valAx>
        <c:axId val="79556992"/>
        <c:scaling>
          <c:orientation val="minMax"/>
        </c:scaling>
        <c:delete val="0"/>
        <c:axPos val="l"/>
        <c:majorGridlines/>
        <c:numFmt formatCode="General" sourceLinked="1"/>
        <c:majorTickMark val="out"/>
        <c:minorTickMark val="none"/>
        <c:tickLblPos val="nextTo"/>
        <c:crossAx val="79542912"/>
        <c:crosses val="autoZero"/>
        <c:crossBetween val="between"/>
      </c:valAx>
    </c:plotArea>
    <c:legend>
      <c:legendPos val="r"/>
      <c:layout>
        <c:manualLayout>
          <c:xMode val="edge"/>
          <c:yMode val="edge"/>
          <c:x val="0.8126452436688657"/>
          <c:y val="4.5528579760863233E-2"/>
          <c:w val="0.17384124281762076"/>
          <c:h val="0.86727617381160693"/>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'2.2-2.5'!$A$77</c:f>
              <c:strCache>
                <c:ptCount val="1"/>
                <c:pt idx="0">
                  <c:v>2006-07</c:v>
                </c:pt>
              </c:strCache>
            </c:strRef>
          </c:tx>
          <c:invertIfNegative val="0"/>
          <c:cat>
            <c:strRef>
              <c:f>'2.2-2.5'!$B$76:$D$76</c:f>
              <c:strCache>
                <c:ptCount val="3"/>
                <c:pt idx="0">
                  <c:v>Registered Disabled</c:v>
                </c:pt>
                <c:pt idx="1">
                  <c:v>Not Registered Disabled</c:v>
                </c:pt>
                <c:pt idx="2">
                  <c:v>Undisclosed</c:v>
                </c:pt>
              </c:strCache>
            </c:strRef>
          </c:cat>
          <c:val>
            <c:numRef>
              <c:f>'2.2-2.5'!$B$77:$D$77</c:f>
            </c:numRef>
          </c:val>
        </c:ser>
        <c:ser>
          <c:idx val="1"/>
          <c:order val="1"/>
          <c:tx>
            <c:strRef>
              <c:f>'2.2-2.5'!$A$78</c:f>
              <c:strCache>
                <c:ptCount val="1"/>
                <c:pt idx="0">
                  <c:v>2007-08</c:v>
                </c:pt>
              </c:strCache>
            </c:strRef>
          </c:tx>
          <c:invertIfNegative val="0"/>
          <c:cat>
            <c:strRef>
              <c:f>'2.2-2.5'!$B$76:$D$76</c:f>
              <c:strCache>
                <c:ptCount val="3"/>
                <c:pt idx="0">
                  <c:v>Registered Disabled</c:v>
                </c:pt>
                <c:pt idx="1">
                  <c:v>Not Registered Disabled</c:v>
                </c:pt>
                <c:pt idx="2">
                  <c:v>Undisclosed</c:v>
                </c:pt>
              </c:strCache>
            </c:strRef>
          </c:cat>
          <c:val>
            <c:numRef>
              <c:f>'2.2-2.5'!$B$78:$D$78</c:f>
            </c:numRef>
          </c:val>
        </c:ser>
        <c:ser>
          <c:idx val="2"/>
          <c:order val="2"/>
          <c:tx>
            <c:strRef>
              <c:f>'2.2-2.5'!$A$79</c:f>
              <c:strCache>
                <c:ptCount val="1"/>
                <c:pt idx="0">
                  <c:v>2008-09</c:v>
                </c:pt>
              </c:strCache>
            </c:strRef>
          </c:tx>
          <c:invertIfNegative val="0"/>
          <c:cat>
            <c:strRef>
              <c:f>'2.2-2.5'!$B$76:$D$76</c:f>
              <c:strCache>
                <c:ptCount val="3"/>
                <c:pt idx="0">
                  <c:v>Registered Disabled</c:v>
                </c:pt>
                <c:pt idx="1">
                  <c:v>Not Registered Disabled</c:v>
                </c:pt>
                <c:pt idx="2">
                  <c:v>Undisclosed</c:v>
                </c:pt>
              </c:strCache>
            </c:strRef>
          </c:cat>
          <c:val>
            <c:numRef>
              <c:f>'2.2-2.5'!$B$79:$D$79</c:f>
              <c:numCache>
                <c:formatCode>0</c:formatCode>
                <c:ptCount val="3"/>
                <c:pt idx="0">
                  <c:v>30.666666666666668</c:v>
                </c:pt>
                <c:pt idx="1">
                  <c:v>912.83333333333337</c:v>
                </c:pt>
                <c:pt idx="2">
                  <c:v>280.58333333333331</c:v>
                </c:pt>
              </c:numCache>
            </c:numRef>
          </c:val>
        </c:ser>
        <c:ser>
          <c:idx val="3"/>
          <c:order val="3"/>
          <c:tx>
            <c:strRef>
              <c:f>'2.2-2.5'!$A$80</c:f>
              <c:strCache>
                <c:ptCount val="1"/>
                <c:pt idx="0">
                  <c:v>2009-10</c:v>
                </c:pt>
              </c:strCache>
            </c:strRef>
          </c:tx>
          <c:invertIfNegative val="0"/>
          <c:cat>
            <c:strRef>
              <c:f>'2.2-2.5'!$B$76:$D$76</c:f>
              <c:strCache>
                <c:ptCount val="3"/>
                <c:pt idx="0">
                  <c:v>Registered Disabled</c:v>
                </c:pt>
                <c:pt idx="1">
                  <c:v>Not Registered Disabled</c:v>
                </c:pt>
                <c:pt idx="2">
                  <c:v>Undisclosed</c:v>
                </c:pt>
              </c:strCache>
            </c:strRef>
          </c:cat>
          <c:val>
            <c:numRef>
              <c:f>'2.2-2.5'!$B$80:$D$80</c:f>
              <c:numCache>
                <c:formatCode>0</c:formatCode>
                <c:ptCount val="3"/>
                <c:pt idx="0">
                  <c:v>37</c:v>
                </c:pt>
                <c:pt idx="1">
                  <c:v>966</c:v>
                </c:pt>
                <c:pt idx="2">
                  <c:v>86</c:v>
                </c:pt>
              </c:numCache>
            </c:numRef>
          </c:val>
        </c:ser>
        <c:ser>
          <c:idx val="4"/>
          <c:order val="4"/>
          <c:tx>
            <c:strRef>
              <c:f>'2.2-2.5'!$A$81</c:f>
              <c:strCache>
                <c:ptCount val="1"/>
                <c:pt idx="0">
                  <c:v>2010-11</c:v>
                </c:pt>
              </c:strCache>
            </c:strRef>
          </c:tx>
          <c:invertIfNegative val="0"/>
          <c:cat>
            <c:strRef>
              <c:f>'2.2-2.5'!$B$76:$D$76</c:f>
              <c:strCache>
                <c:ptCount val="3"/>
                <c:pt idx="0">
                  <c:v>Registered Disabled</c:v>
                </c:pt>
                <c:pt idx="1">
                  <c:v>Not Registered Disabled</c:v>
                </c:pt>
                <c:pt idx="2">
                  <c:v>Undisclosed</c:v>
                </c:pt>
              </c:strCache>
            </c:strRef>
          </c:cat>
          <c:val>
            <c:numRef>
              <c:f>'2.2-2.5'!$B$81:$D$81</c:f>
              <c:numCache>
                <c:formatCode>0</c:formatCode>
                <c:ptCount val="3"/>
                <c:pt idx="0">
                  <c:v>43</c:v>
                </c:pt>
                <c:pt idx="1">
                  <c:v>997</c:v>
                </c:pt>
                <c:pt idx="2">
                  <c:v>36</c:v>
                </c:pt>
              </c:numCache>
            </c:numRef>
          </c:val>
        </c:ser>
        <c:dLbls>
          <c:showLegendKey val="0"/>
          <c:showVal val="0"/>
          <c:showCatName val="0"/>
          <c:showSerName val="0"/>
          <c:showPercent val="0"/>
          <c:showBubbleSize val="0"/>
        </c:dLbls>
        <c:gapWidth val="150"/>
        <c:axId val="79571968"/>
        <c:axId val="79590144"/>
      </c:barChart>
      <c:catAx>
        <c:axId val="79571968"/>
        <c:scaling>
          <c:orientation val="minMax"/>
        </c:scaling>
        <c:delete val="0"/>
        <c:axPos val="b"/>
        <c:majorTickMark val="out"/>
        <c:minorTickMark val="none"/>
        <c:tickLblPos val="nextTo"/>
        <c:crossAx val="79590144"/>
        <c:crosses val="autoZero"/>
        <c:auto val="1"/>
        <c:lblAlgn val="ctr"/>
        <c:lblOffset val="100"/>
        <c:noMultiLvlLbl val="0"/>
      </c:catAx>
      <c:valAx>
        <c:axId val="79590144"/>
        <c:scaling>
          <c:orientation val="minMax"/>
        </c:scaling>
        <c:delete val="0"/>
        <c:axPos val="l"/>
        <c:majorGridlines/>
        <c:numFmt formatCode="0" sourceLinked="1"/>
        <c:majorTickMark val="out"/>
        <c:minorTickMark val="none"/>
        <c:tickLblPos val="nextTo"/>
        <c:crossAx val="795719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'2.2-2.5'!$A$70</c:f>
              <c:strCache>
                <c:ptCount val="1"/>
                <c:pt idx="0">
                  <c:v>2006-07</c:v>
                </c:pt>
              </c:strCache>
            </c:strRef>
          </c:tx>
          <c:invertIfNegative val="0"/>
          <c:cat>
            <c:strRef>
              <c:f>'2.2-2.5'!$B$69:$D$69</c:f>
              <c:strCache>
                <c:ptCount val="3"/>
                <c:pt idx="0">
                  <c:v>White British</c:v>
                </c:pt>
                <c:pt idx="1">
                  <c:v>BME</c:v>
                </c:pt>
                <c:pt idx="2">
                  <c:v>Undisclosed</c:v>
                </c:pt>
              </c:strCache>
            </c:strRef>
          </c:cat>
          <c:val>
            <c:numRef>
              <c:f>'2.2-2.5'!$B$70:$D$70</c:f>
            </c:numRef>
          </c:val>
        </c:ser>
        <c:ser>
          <c:idx val="1"/>
          <c:order val="1"/>
          <c:tx>
            <c:strRef>
              <c:f>'2.2-2.5'!$A$71</c:f>
              <c:strCache>
                <c:ptCount val="1"/>
                <c:pt idx="0">
                  <c:v>2007-08</c:v>
                </c:pt>
              </c:strCache>
            </c:strRef>
          </c:tx>
          <c:invertIfNegative val="0"/>
          <c:cat>
            <c:strRef>
              <c:f>'2.2-2.5'!$B$69:$D$69</c:f>
              <c:strCache>
                <c:ptCount val="3"/>
                <c:pt idx="0">
                  <c:v>White British</c:v>
                </c:pt>
                <c:pt idx="1">
                  <c:v>BME</c:v>
                </c:pt>
                <c:pt idx="2">
                  <c:v>Undisclosed</c:v>
                </c:pt>
              </c:strCache>
            </c:strRef>
          </c:cat>
          <c:val>
            <c:numRef>
              <c:f>'2.2-2.5'!$B$71:$D$71</c:f>
            </c:numRef>
          </c:val>
        </c:ser>
        <c:ser>
          <c:idx val="2"/>
          <c:order val="2"/>
          <c:tx>
            <c:strRef>
              <c:f>'2.2-2.5'!$A$72</c:f>
              <c:strCache>
                <c:ptCount val="1"/>
                <c:pt idx="0">
                  <c:v>2008-09</c:v>
                </c:pt>
              </c:strCache>
            </c:strRef>
          </c:tx>
          <c:invertIfNegative val="0"/>
          <c:cat>
            <c:strRef>
              <c:f>'2.2-2.5'!$B$69:$D$69</c:f>
              <c:strCache>
                <c:ptCount val="3"/>
                <c:pt idx="0">
                  <c:v>White British</c:v>
                </c:pt>
                <c:pt idx="1">
                  <c:v>BME</c:v>
                </c:pt>
                <c:pt idx="2">
                  <c:v>Undisclosed</c:v>
                </c:pt>
              </c:strCache>
            </c:strRef>
          </c:cat>
          <c:val>
            <c:numRef>
              <c:f>'2.2-2.5'!$B$72:$D$72</c:f>
              <c:numCache>
                <c:formatCode>0</c:formatCode>
                <c:ptCount val="3"/>
                <c:pt idx="0">
                  <c:v>1101.0833333333333</c:v>
                </c:pt>
                <c:pt idx="1">
                  <c:v>54.583333333333336</c:v>
                </c:pt>
                <c:pt idx="2">
                  <c:v>68.416666666666671</c:v>
                </c:pt>
              </c:numCache>
            </c:numRef>
          </c:val>
        </c:ser>
        <c:ser>
          <c:idx val="3"/>
          <c:order val="3"/>
          <c:tx>
            <c:strRef>
              <c:f>'2.2-2.5'!$A$73</c:f>
              <c:strCache>
                <c:ptCount val="1"/>
                <c:pt idx="0">
                  <c:v>2009-10</c:v>
                </c:pt>
              </c:strCache>
            </c:strRef>
          </c:tx>
          <c:invertIfNegative val="0"/>
          <c:cat>
            <c:strRef>
              <c:f>'2.2-2.5'!$B$69:$D$69</c:f>
              <c:strCache>
                <c:ptCount val="3"/>
                <c:pt idx="0">
                  <c:v>White British</c:v>
                </c:pt>
                <c:pt idx="1">
                  <c:v>BME</c:v>
                </c:pt>
                <c:pt idx="2">
                  <c:v>Undisclosed</c:v>
                </c:pt>
              </c:strCache>
            </c:strRef>
          </c:cat>
          <c:val>
            <c:numRef>
              <c:f>'2.2-2.5'!$B$73:$D$73</c:f>
              <c:numCache>
                <c:formatCode>0</c:formatCode>
                <c:ptCount val="3"/>
                <c:pt idx="0">
                  <c:v>1102</c:v>
                </c:pt>
                <c:pt idx="1">
                  <c:v>49</c:v>
                </c:pt>
                <c:pt idx="2">
                  <c:v>18</c:v>
                </c:pt>
              </c:numCache>
            </c:numRef>
          </c:val>
        </c:ser>
        <c:ser>
          <c:idx val="4"/>
          <c:order val="4"/>
          <c:tx>
            <c:strRef>
              <c:f>'2.2-2.5'!$A$74</c:f>
              <c:strCache>
                <c:ptCount val="1"/>
                <c:pt idx="0">
                  <c:v>2010-11</c:v>
                </c:pt>
              </c:strCache>
            </c:strRef>
          </c:tx>
          <c:invertIfNegative val="0"/>
          <c:cat>
            <c:strRef>
              <c:f>'2.2-2.5'!$B$69:$D$69</c:f>
              <c:strCache>
                <c:ptCount val="3"/>
                <c:pt idx="0">
                  <c:v>White British</c:v>
                </c:pt>
                <c:pt idx="1">
                  <c:v>BME</c:v>
                </c:pt>
                <c:pt idx="2">
                  <c:v>Undisclosed</c:v>
                </c:pt>
              </c:strCache>
            </c:strRef>
          </c:cat>
          <c:val>
            <c:numRef>
              <c:f>'2.2-2.5'!$B$74:$D$74</c:f>
              <c:numCache>
                <c:formatCode>0</c:formatCode>
                <c:ptCount val="3"/>
                <c:pt idx="0">
                  <c:v>1009</c:v>
                </c:pt>
                <c:pt idx="1">
                  <c:v>57</c:v>
                </c:pt>
                <c:pt idx="2">
                  <c:v>10</c:v>
                </c:pt>
              </c:numCache>
            </c:numRef>
          </c:val>
        </c:ser>
        <c:dLbls>
          <c:showLegendKey val="0"/>
          <c:showVal val="0"/>
          <c:showCatName val="0"/>
          <c:showSerName val="0"/>
          <c:showPercent val="0"/>
          <c:showBubbleSize val="0"/>
        </c:dLbls>
        <c:gapWidth val="150"/>
        <c:axId val="79625600"/>
        <c:axId val="79627392"/>
      </c:barChart>
      <c:catAx>
        <c:axId val="79625600"/>
        <c:scaling>
          <c:orientation val="minMax"/>
        </c:scaling>
        <c:delete val="0"/>
        <c:axPos val="b"/>
        <c:majorTickMark val="out"/>
        <c:minorTickMark val="none"/>
        <c:tickLblPos val="nextTo"/>
        <c:crossAx val="79627392"/>
        <c:crosses val="autoZero"/>
        <c:auto val="1"/>
        <c:lblAlgn val="ctr"/>
        <c:lblOffset val="100"/>
        <c:noMultiLvlLbl val="0"/>
      </c:catAx>
      <c:valAx>
        <c:axId val="79627392"/>
        <c:scaling>
          <c:orientation val="minMax"/>
        </c:scaling>
        <c:delete val="0"/>
        <c:axPos val="l"/>
        <c:majorGridlines/>
        <c:numFmt formatCode="0" sourceLinked="1"/>
        <c:majorTickMark val="out"/>
        <c:minorTickMark val="none"/>
        <c:tickLblPos val="nextTo"/>
        <c:crossAx val="796256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tx>
            <c:strRef>
              <c:f>'2.2-2.5'!$B$90</c:f>
              <c:strCache>
                <c:ptCount val="1"/>
                <c:pt idx="0">
                  <c:v>16 to 20</c:v>
                </c:pt>
              </c:strCache>
            </c:strRef>
          </c:tx>
          <c:invertIfNegative val="0"/>
          <c:cat>
            <c:strRef>
              <c:f>'2.2-2.5'!$A$91:$A$95</c:f>
              <c:strCache>
                <c:ptCount val="3"/>
                <c:pt idx="0">
                  <c:v>2008-09</c:v>
                </c:pt>
                <c:pt idx="1">
                  <c:v>2009-10</c:v>
                </c:pt>
                <c:pt idx="2">
                  <c:v>2010-11</c:v>
                </c:pt>
              </c:strCache>
            </c:strRef>
          </c:cat>
          <c:val>
            <c:numRef>
              <c:f>'2.2-2.5'!$B$91:$B$95</c:f>
              <c:numCache>
                <c:formatCode>0</c:formatCode>
                <c:ptCount val="3"/>
                <c:pt idx="0">
                  <c:v>25.75</c:v>
                </c:pt>
                <c:pt idx="1">
                  <c:v>23</c:v>
                </c:pt>
                <c:pt idx="2">
                  <c:v>19</c:v>
                </c:pt>
              </c:numCache>
            </c:numRef>
          </c:val>
        </c:ser>
        <c:ser>
          <c:idx val="1"/>
          <c:order val="1"/>
          <c:tx>
            <c:strRef>
              <c:f>'2.2-2.5'!$C$90</c:f>
              <c:strCache>
                <c:ptCount val="1"/>
                <c:pt idx="0">
                  <c:v>21 to 35</c:v>
                </c:pt>
              </c:strCache>
            </c:strRef>
          </c:tx>
          <c:invertIfNegative val="0"/>
          <c:cat>
            <c:strRef>
              <c:f>'2.2-2.5'!$A$91:$A$95</c:f>
              <c:strCache>
                <c:ptCount val="3"/>
                <c:pt idx="0">
                  <c:v>2008-09</c:v>
                </c:pt>
                <c:pt idx="1">
                  <c:v>2009-10</c:v>
                </c:pt>
                <c:pt idx="2">
                  <c:v>2010-11</c:v>
                </c:pt>
              </c:strCache>
            </c:strRef>
          </c:cat>
          <c:val>
            <c:numRef>
              <c:f>'2.2-2.5'!$C$91:$C$95</c:f>
              <c:numCache>
                <c:formatCode>0</c:formatCode>
                <c:ptCount val="3"/>
                <c:pt idx="0">
                  <c:v>351.91666666666669</c:v>
                </c:pt>
                <c:pt idx="1">
                  <c:v>327</c:v>
                </c:pt>
                <c:pt idx="2">
                  <c:v>328</c:v>
                </c:pt>
              </c:numCache>
            </c:numRef>
          </c:val>
        </c:ser>
        <c:ser>
          <c:idx val="2"/>
          <c:order val="2"/>
          <c:tx>
            <c:strRef>
              <c:f>'2.2-2.5'!$D$90</c:f>
              <c:strCache>
                <c:ptCount val="1"/>
                <c:pt idx="0">
                  <c:v>36 to 45</c:v>
                </c:pt>
              </c:strCache>
            </c:strRef>
          </c:tx>
          <c:invertIfNegative val="0"/>
          <c:cat>
            <c:strRef>
              <c:f>'2.2-2.5'!$A$91:$A$95</c:f>
              <c:strCache>
                <c:ptCount val="3"/>
                <c:pt idx="0">
                  <c:v>2008-09</c:v>
                </c:pt>
                <c:pt idx="1">
                  <c:v>2009-10</c:v>
                </c:pt>
                <c:pt idx="2">
                  <c:v>2010-11</c:v>
                </c:pt>
              </c:strCache>
            </c:strRef>
          </c:cat>
          <c:val>
            <c:numRef>
              <c:f>'2.2-2.5'!$D$91:$D$95</c:f>
              <c:numCache>
                <c:formatCode>0</c:formatCode>
                <c:ptCount val="3"/>
                <c:pt idx="0">
                  <c:v>291.08333333333331</c:v>
                </c:pt>
                <c:pt idx="1">
                  <c:v>259</c:v>
                </c:pt>
                <c:pt idx="2">
                  <c:v>255</c:v>
                </c:pt>
              </c:numCache>
            </c:numRef>
          </c:val>
        </c:ser>
        <c:ser>
          <c:idx val="3"/>
          <c:order val="3"/>
          <c:tx>
            <c:strRef>
              <c:f>'2.2-2.5'!$E$90</c:f>
              <c:strCache>
                <c:ptCount val="1"/>
                <c:pt idx="0">
                  <c:v>46 to 55</c:v>
                </c:pt>
              </c:strCache>
            </c:strRef>
          </c:tx>
          <c:invertIfNegative val="0"/>
          <c:cat>
            <c:strRef>
              <c:f>'2.2-2.5'!$A$91:$A$95</c:f>
              <c:strCache>
                <c:ptCount val="3"/>
                <c:pt idx="0">
                  <c:v>2008-09</c:v>
                </c:pt>
                <c:pt idx="1">
                  <c:v>2009-10</c:v>
                </c:pt>
                <c:pt idx="2">
                  <c:v>2010-11</c:v>
                </c:pt>
              </c:strCache>
            </c:strRef>
          </c:cat>
          <c:val>
            <c:numRef>
              <c:f>'2.2-2.5'!$E$91:$E$95</c:f>
              <c:numCache>
                <c:formatCode>0</c:formatCode>
                <c:ptCount val="3"/>
                <c:pt idx="0">
                  <c:v>328.83333333333331</c:v>
                </c:pt>
                <c:pt idx="1">
                  <c:v>290</c:v>
                </c:pt>
                <c:pt idx="2">
                  <c:v>296</c:v>
                </c:pt>
              </c:numCache>
            </c:numRef>
          </c:val>
        </c:ser>
        <c:ser>
          <c:idx val="4"/>
          <c:order val="4"/>
          <c:tx>
            <c:strRef>
              <c:f>'2.2-2.5'!$F$90</c:f>
              <c:strCache>
                <c:ptCount val="1"/>
                <c:pt idx="0">
                  <c:v>56 to 65</c:v>
                </c:pt>
              </c:strCache>
            </c:strRef>
          </c:tx>
          <c:invertIfNegative val="0"/>
          <c:cat>
            <c:strRef>
              <c:f>'2.2-2.5'!$A$91:$A$95</c:f>
              <c:strCache>
                <c:ptCount val="3"/>
                <c:pt idx="0">
                  <c:v>2008-09</c:v>
                </c:pt>
                <c:pt idx="1">
                  <c:v>2009-10</c:v>
                </c:pt>
                <c:pt idx="2">
                  <c:v>2010-11</c:v>
                </c:pt>
              </c:strCache>
            </c:strRef>
          </c:cat>
          <c:val>
            <c:numRef>
              <c:f>'2.2-2.5'!$F$91:$F$95</c:f>
              <c:numCache>
                <c:formatCode>0</c:formatCode>
                <c:ptCount val="3"/>
                <c:pt idx="0">
                  <c:v>207.66666666666666</c:v>
                </c:pt>
                <c:pt idx="1">
                  <c:v>168</c:v>
                </c:pt>
                <c:pt idx="2">
                  <c:v>165</c:v>
                </c:pt>
              </c:numCache>
            </c:numRef>
          </c:val>
        </c:ser>
        <c:ser>
          <c:idx val="5"/>
          <c:order val="5"/>
          <c:tx>
            <c:strRef>
              <c:f>'2.2-2.5'!$G$90</c:f>
              <c:strCache>
                <c:ptCount val="1"/>
                <c:pt idx="0">
                  <c:v>66 and over</c:v>
                </c:pt>
              </c:strCache>
            </c:strRef>
          </c:tx>
          <c:invertIfNegative val="0"/>
          <c:cat>
            <c:strRef>
              <c:f>'2.2-2.5'!$A$91:$A$95</c:f>
              <c:strCache>
                <c:ptCount val="3"/>
                <c:pt idx="0">
                  <c:v>2008-09</c:v>
                </c:pt>
                <c:pt idx="1">
                  <c:v>2009-10</c:v>
                </c:pt>
                <c:pt idx="2">
                  <c:v>2010-11</c:v>
                </c:pt>
              </c:strCache>
            </c:strRef>
          </c:cat>
          <c:val>
            <c:numRef>
              <c:f>'2.2-2.5'!$G$91:$G$95</c:f>
              <c:numCache>
                <c:formatCode>0</c:formatCode>
                <c:ptCount val="3"/>
                <c:pt idx="0">
                  <c:v>18.833333333333332</c:v>
                </c:pt>
                <c:pt idx="1">
                  <c:v>20</c:v>
                </c:pt>
                <c:pt idx="2">
                  <c:v>19</c:v>
                </c:pt>
              </c:numCache>
            </c:numRef>
          </c:val>
        </c:ser>
        <c:dLbls>
          <c:showLegendKey val="0"/>
          <c:showVal val="0"/>
          <c:showCatName val="0"/>
          <c:showSerName val="0"/>
          <c:showPercent val="0"/>
          <c:showBubbleSize val="0"/>
        </c:dLbls>
        <c:gapWidth val="150"/>
        <c:axId val="79655680"/>
        <c:axId val="79657216"/>
      </c:barChart>
      <c:catAx>
        <c:axId val="79655680"/>
        <c:scaling>
          <c:orientation val="minMax"/>
        </c:scaling>
        <c:delete val="0"/>
        <c:axPos val="b"/>
        <c:majorTickMark val="out"/>
        <c:minorTickMark val="none"/>
        <c:tickLblPos val="nextTo"/>
        <c:crossAx val="79657216"/>
        <c:crosses val="autoZero"/>
        <c:auto val="1"/>
        <c:lblAlgn val="ctr"/>
        <c:lblOffset val="100"/>
        <c:noMultiLvlLbl val="0"/>
      </c:catAx>
      <c:valAx>
        <c:axId val="79657216"/>
        <c:scaling>
          <c:orientation val="minMax"/>
        </c:scaling>
        <c:delete val="0"/>
        <c:axPos val="l"/>
        <c:majorGridlines/>
        <c:numFmt formatCode="0" sourceLinked="1"/>
        <c:majorTickMark val="out"/>
        <c:minorTickMark val="none"/>
        <c:tickLblPos val="nextTo"/>
        <c:crossAx val="79655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1641</Words>
  <Characters>9359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West Notts College</Company>
  <LinksUpToDate>false</LinksUpToDate>
  <CharactersWithSpaces>10979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Gill</dc:creator>
  <cp:lastModifiedBy>Louise Knott</cp:lastModifiedBy>
  <cp:revision>2</cp:revision>
  <cp:lastPrinted>2012-01-05T09:18:00Z</cp:lastPrinted>
  <dcterms:created xsi:type="dcterms:W3CDTF">2012-01-25T09:58:00Z</dcterms:created>
  <dcterms:modified xsi:type="dcterms:W3CDTF">2012-01-25T09:58:00Z</dcterms:modified>
</cp:coreProperties>
</file>