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63" w:rsidRDefault="00DC203E" w:rsidP="00974C63">
      <w:pPr>
        <w:pStyle w:val="BodyTextIndent"/>
        <w:ind w:left="0"/>
        <w:rPr>
          <w:rFonts w:ascii="Calibri" w:hAnsi="Calibri"/>
          <w:sz w:val="22"/>
        </w:rPr>
      </w:pPr>
      <w:bookmarkStart w:id="0" w:name="_GoBack"/>
      <w:bookmarkEnd w:id="0"/>
      <w:r>
        <w:rPr>
          <w:rFonts w:ascii="Calibri" w:hAnsi="Calibri"/>
          <w:noProof/>
          <w:sz w:val="22"/>
          <w:lang w:eastAsia="en-GB"/>
        </w:rPr>
        <w:drawing>
          <wp:anchor distT="0" distB="0" distL="114300" distR="114300" simplePos="0" relativeHeight="251657728" behindDoc="1" locked="0" layoutInCell="1" allowOverlap="1">
            <wp:simplePos x="0" y="0"/>
            <wp:positionH relativeFrom="column">
              <wp:posOffset>2154555</wp:posOffset>
            </wp:positionH>
            <wp:positionV relativeFrom="paragraph">
              <wp:posOffset>-10160</wp:posOffset>
            </wp:positionV>
            <wp:extent cx="1256665" cy="561975"/>
            <wp:effectExtent l="0" t="0" r="0" b="0"/>
            <wp:wrapTight wrapText="bothSides">
              <wp:wrapPolygon edited="0">
                <wp:start x="0" y="0"/>
                <wp:lineTo x="0" y="21234"/>
                <wp:lineTo x="21283" y="21234"/>
                <wp:lineTo x="21283" y="0"/>
                <wp:lineTo x="0" y="0"/>
              </wp:wrapPolygon>
            </wp:wrapTight>
            <wp:docPr id="7" name="Picture 1" descr="Description: 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ision-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66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C63" w:rsidRDefault="00974C63" w:rsidP="00974C63">
      <w:pPr>
        <w:pStyle w:val="BodyTextIndent"/>
        <w:ind w:left="0"/>
        <w:rPr>
          <w:rFonts w:ascii="Calibri" w:hAnsi="Calibri"/>
          <w:sz w:val="22"/>
        </w:rPr>
      </w:pPr>
    </w:p>
    <w:p w:rsidR="00974C63" w:rsidRDefault="00974C63" w:rsidP="00974C63">
      <w:pPr>
        <w:pStyle w:val="BodyTextIndent"/>
        <w:ind w:left="0"/>
        <w:rPr>
          <w:rFonts w:ascii="Calibri" w:hAnsi="Calibri"/>
          <w:sz w:val="22"/>
        </w:rPr>
      </w:pPr>
    </w:p>
    <w:p w:rsidR="00974C63" w:rsidRDefault="00974C63" w:rsidP="00974C63">
      <w:pPr>
        <w:pStyle w:val="BodyTextIndent"/>
        <w:ind w:left="0"/>
        <w:rPr>
          <w:rFonts w:ascii="Calibri" w:hAnsi="Calibri"/>
          <w:sz w:val="22"/>
        </w:rPr>
      </w:pPr>
    </w:p>
    <w:p w:rsidR="00974C63" w:rsidRDefault="00974C63" w:rsidP="00974C63">
      <w:pPr>
        <w:pStyle w:val="BodyTextIndent"/>
        <w:ind w:left="0"/>
        <w:rPr>
          <w:rFonts w:ascii="Calibri" w:hAnsi="Calibri"/>
          <w:sz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95" w:color="auto" w:fill="auto"/>
        <w:tblLayout w:type="fixed"/>
        <w:tblLook w:val="04A0" w:firstRow="1" w:lastRow="0" w:firstColumn="1" w:lastColumn="0" w:noHBand="0" w:noVBand="1"/>
      </w:tblPr>
      <w:tblGrid>
        <w:gridCol w:w="2627"/>
        <w:gridCol w:w="7258"/>
      </w:tblGrid>
      <w:tr w:rsidR="00EA547A" w:rsidTr="00EA547A">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EA547A" w:rsidRPr="006A2FFB" w:rsidRDefault="00EA547A" w:rsidP="001B4417">
            <w:pPr>
              <w:jc w:val="center"/>
              <w:rPr>
                <w:rFonts w:ascii="Calibri" w:hAnsi="Calibri" w:cs="Arial"/>
                <w:b/>
                <w:sz w:val="22"/>
                <w:szCs w:val="22"/>
              </w:rPr>
            </w:pPr>
            <w:r w:rsidRPr="006A2FFB">
              <w:rPr>
                <w:rFonts w:ascii="Calibri" w:hAnsi="Calibri"/>
                <w:b/>
                <w:sz w:val="22"/>
              </w:rPr>
              <w:br w:type="page"/>
            </w:r>
            <w:r w:rsidRPr="006A2FFB">
              <w:rPr>
                <w:rFonts w:ascii="Calibri" w:hAnsi="Calibri"/>
                <w:sz w:val="22"/>
              </w:rPr>
              <w:br w:type="page"/>
            </w:r>
            <w:r w:rsidRPr="006A2FFB">
              <w:rPr>
                <w:rFonts w:ascii="Calibri" w:hAnsi="Calibri" w:cs="Arial"/>
                <w:b/>
                <w:sz w:val="22"/>
                <w:szCs w:val="22"/>
              </w:rPr>
              <w:t xml:space="preserve">TERMS OF REFERENCE FOR THE STANDARDS COMMITTEE </w:t>
            </w:r>
            <w:r w:rsidR="00083823" w:rsidRPr="006A2FFB">
              <w:rPr>
                <w:rFonts w:ascii="Calibri" w:hAnsi="Calibri" w:cs="Arial"/>
                <w:b/>
                <w:sz w:val="22"/>
                <w:szCs w:val="22"/>
              </w:rPr>
              <w:t>2022/23</w:t>
            </w:r>
          </w:p>
        </w:tc>
      </w:tr>
      <w:tr w:rsidR="00EA547A" w:rsidTr="00EA547A">
        <w:tc>
          <w:tcPr>
            <w:tcW w:w="2628" w:type="dxa"/>
            <w:tcBorders>
              <w:top w:val="single" w:sz="4" w:space="0" w:color="auto"/>
              <w:left w:val="single" w:sz="4" w:space="0" w:color="auto"/>
              <w:bottom w:val="nil"/>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1. </w:t>
            </w:r>
            <w:r>
              <w:rPr>
                <w:rFonts w:ascii="Calibri" w:hAnsi="Calibri" w:cs="Arial"/>
                <w:b/>
                <w:sz w:val="22"/>
                <w:szCs w:val="22"/>
              </w:rPr>
              <w:tab/>
              <w:t>Membership</w:t>
            </w:r>
          </w:p>
        </w:tc>
        <w:tc>
          <w:tcPr>
            <w:tcW w:w="7261" w:type="dxa"/>
            <w:tcBorders>
              <w:top w:val="single" w:sz="4" w:space="0" w:color="auto"/>
              <w:left w:val="single" w:sz="4" w:space="0" w:color="auto"/>
              <w:bottom w:val="nil"/>
              <w:right w:val="single" w:sz="4" w:space="0" w:color="auto"/>
            </w:tcBorders>
            <w:shd w:val="clear" w:color="auto" w:fill="auto"/>
          </w:tcPr>
          <w:p w:rsidR="00EA547A" w:rsidRPr="006A2FFB" w:rsidRDefault="00EA547A" w:rsidP="00EA547A">
            <w:pPr>
              <w:numPr>
                <w:ilvl w:val="1"/>
                <w:numId w:val="6"/>
              </w:numPr>
              <w:rPr>
                <w:rFonts w:ascii="Calibri" w:hAnsi="Calibri" w:cs="Arial"/>
                <w:sz w:val="22"/>
                <w:szCs w:val="22"/>
              </w:rPr>
            </w:pPr>
            <w:r w:rsidRPr="006A2FFB">
              <w:rPr>
                <w:rFonts w:ascii="Calibri" w:hAnsi="Calibri" w:cs="Arial"/>
                <w:sz w:val="22"/>
                <w:szCs w:val="22"/>
              </w:rPr>
              <w:t xml:space="preserve">The Committee shall be appointed by the Board of Governors and shall have up to eight members. </w:t>
            </w:r>
          </w:p>
          <w:p w:rsidR="00EA547A" w:rsidRPr="006A2FFB" w:rsidRDefault="00EA547A">
            <w:pPr>
              <w:ind w:left="720" w:hanging="720"/>
              <w:rPr>
                <w:rFonts w:ascii="Calibri" w:hAnsi="Calibri" w:cs="Arial"/>
                <w:sz w:val="16"/>
                <w:szCs w:val="16"/>
              </w:rPr>
            </w:pPr>
          </w:p>
        </w:tc>
      </w:tr>
      <w:tr w:rsidR="00EA547A" w:rsidTr="00EA547A">
        <w:trPr>
          <w:trHeight w:val="539"/>
        </w:trPr>
        <w:tc>
          <w:tcPr>
            <w:tcW w:w="2628" w:type="dxa"/>
            <w:tcBorders>
              <w:top w:val="nil"/>
              <w:left w:val="single" w:sz="4" w:space="0" w:color="auto"/>
              <w:bottom w:val="single" w:sz="4" w:space="0" w:color="auto"/>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single" w:sz="4" w:space="0" w:color="auto"/>
              <w:right w:val="single" w:sz="4" w:space="0" w:color="auto"/>
            </w:tcBorders>
            <w:shd w:val="clear" w:color="auto" w:fill="auto"/>
          </w:tcPr>
          <w:p w:rsidR="00EA547A" w:rsidRPr="006A2FFB" w:rsidRDefault="00EA547A" w:rsidP="00EA547A">
            <w:pPr>
              <w:numPr>
                <w:ilvl w:val="1"/>
                <w:numId w:val="6"/>
              </w:numPr>
              <w:rPr>
                <w:rFonts w:ascii="Calibri" w:hAnsi="Calibri" w:cs="Arial"/>
                <w:sz w:val="22"/>
                <w:szCs w:val="22"/>
              </w:rPr>
            </w:pPr>
            <w:r w:rsidRPr="006A2FFB">
              <w:rPr>
                <w:rFonts w:ascii="Calibri" w:hAnsi="Calibri" w:cs="Arial"/>
                <w:sz w:val="22"/>
                <w:szCs w:val="22"/>
              </w:rPr>
              <w:t xml:space="preserve">Members shall serve for a period of one </w:t>
            </w:r>
            <w:r w:rsidR="001B4417" w:rsidRPr="006A2FFB">
              <w:rPr>
                <w:rFonts w:ascii="Calibri" w:hAnsi="Calibri" w:cs="Arial"/>
                <w:sz w:val="22"/>
                <w:szCs w:val="22"/>
              </w:rPr>
              <w:t>c</w:t>
            </w:r>
            <w:r w:rsidRPr="006A2FFB">
              <w:rPr>
                <w:rFonts w:ascii="Calibri" w:hAnsi="Calibri" w:cs="Arial"/>
                <w:sz w:val="22"/>
                <w:szCs w:val="22"/>
              </w:rPr>
              <w:t>ollege year and shall be eligible for reappointment.</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2. </w:t>
            </w:r>
            <w:r>
              <w:rPr>
                <w:rFonts w:ascii="Calibri" w:hAnsi="Calibri" w:cs="Arial"/>
                <w:b/>
                <w:sz w:val="22"/>
                <w:szCs w:val="22"/>
              </w:rPr>
              <w:tab/>
              <w:t>Quorum</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2.1</w:t>
            </w:r>
            <w:r w:rsidRPr="006A2FFB">
              <w:rPr>
                <w:rFonts w:ascii="Calibri" w:hAnsi="Calibri" w:cs="Arial"/>
                <w:sz w:val="22"/>
                <w:szCs w:val="22"/>
              </w:rPr>
              <w:tab/>
              <w:t>The quorum for meetings of the Committee shall be 40% of actual membership (rounded up).</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3. </w:t>
            </w:r>
            <w:r>
              <w:rPr>
                <w:rFonts w:ascii="Calibri" w:hAnsi="Calibri" w:cs="Arial"/>
                <w:b/>
                <w:sz w:val="22"/>
                <w:szCs w:val="22"/>
              </w:rPr>
              <w:tab/>
              <w:t>Frequency of          Meetings</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3.1</w:t>
            </w:r>
            <w:r w:rsidRPr="006A2FFB">
              <w:rPr>
                <w:rFonts w:ascii="Calibri" w:hAnsi="Calibri" w:cs="Arial"/>
                <w:sz w:val="22"/>
                <w:szCs w:val="22"/>
              </w:rPr>
              <w:tab/>
              <w:t>The Committee shall meet as determined by the Corporation</w:t>
            </w:r>
            <w:r w:rsidR="001B4417" w:rsidRPr="006A2FFB">
              <w:rPr>
                <w:rFonts w:ascii="Calibri" w:hAnsi="Calibri" w:cs="Arial"/>
                <w:sz w:val="22"/>
                <w:szCs w:val="22"/>
              </w:rPr>
              <w:t>,</w:t>
            </w:r>
            <w:r w:rsidRPr="006A2FFB">
              <w:rPr>
                <w:rFonts w:ascii="Calibri" w:hAnsi="Calibri" w:cs="Arial"/>
                <w:sz w:val="22"/>
                <w:szCs w:val="22"/>
              </w:rPr>
              <w:t xml:space="preserve"> but no </w:t>
            </w:r>
            <w:r w:rsidR="001B4417" w:rsidRPr="006A2FFB">
              <w:rPr>
                <w:rFonts w:ascii="Calibri" w:hAnsi="Calibri" w:cs="Arial"/>
                <w:sz w:val="22"/>
                <w:szCs w:val="22"/>
              </w:rPr>
              <w:t>fewer</w:t>
            </w:r>
            <w:r w:rsidRPr="006A2FFB">
              <w:rPr>
                <w:rFonts w:ascii="Calibri" w:hAnsi="Calibri" w:cs="Arial"/>
                <w:sz w:val="22"/>
                <w:szCs w:val="22"/>
              </w:rPr>
              <w:t xml:space="preserve"> than four times a year.</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nil"/>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4. </w:t>
            </w:r>
            <w:r>
              <w:rPr>
                <w:rFonts w:ascii="Calibri" w:hAnsi="Calibri" w:cs="Arial"/>
                <w:b/>
                <w:sz w:val="22"/>
                <w:szCs w:val="22"/>
              </w:rPr>
              <w:tab/>
              <w:t xml:space="preserve">Responsibilities of     the Committee </w:t>
            </w:r>
          </w:p>
        </w:tc>
        <w:tc>
          <w:tcPr>
            <w:tcW w:w="7261" w:type="dxa"/>
            <w:tcBorders>
              <w:top w:val="single" w:sz="4" w:space="0" w:color="auto"/>
              <w:left w:val="single" w:sz="4" w:space="0" w:color="auto"/>
              <w:bottom w:val="nil"/>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4.1</w:t>
            </w:r>
            <w:r w:rsidRPr="006A2FFB">
              <w:rPr>
                <w:rFonts w:ascii="Calibri" w:hAnsi="Calibri" w:cs="Arial"/>
                <w:sz w:val="22"/>
                <w:szCs w:val="22"/>
              </w:rPr>
              <w:tab/>
              <w:t>To make recommendations to the Corporation in relation to the College’s annual self</w:t>
            </w:r>
            <w:r w:rsidR="004E6B18" w:rsidRPr="006A2FFB">
              <w:rPr>
                <w:rFonts w:ascii="Calibri" w:hAnsi="Calibri" w:cs="Arial"/>
                <w:sz w:val="22"/>
                <w:szCs w:val="22"/>
              </w:rPr>
              <w:t>-</w:t>
            </w:r>
            <w:r w:rsidRPr="006A2FFB">
              <w:rPr>
                <w:rFonts w:ascii="Calibri" w:hAnsi="Calibri" w:cs="Arial"/>
                <w:sz w:val="22"/>
                <w:szCs w:val="22"/>
              </w:rPr>
              <w:t>assessment report (FE) and self</w:t>
            </w:r>
            <w:r w:rsidR="004E6B18" w:rsidRPr="006A2FFB">
              <w:rPr>
                <w:rFonts w:ascii="Calibri" w:hAnsi="Calibri" w:cs="Arial"/>
                <w:sz w:val="22"/>
                <w:szCs w:val="22"/>
              </w:rPr>
              <w:t>-</w:t>
            </w:r>
            <w:r w:rsidRPr="006A2FFB">
              <w:rPr>
                <w:rFonts w:ascii="Calibri" w:hAnsi="Calibri" w:cs="Arial"/>
                <w:sz w:val="22"/>
                <w:szCs w:val="22"/>
              </w:rPr>
              <w:t xml:space="preserve">evaluation document (HE). </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4.2</w:t>
            </w:r>
            <w:r w:rsidRPr="006A2FFB">
              <w:rPr>
                <w:rFonts w:ascii="Calibri" w:hAnsi="Calibri" w:cs="Arial"/>
                <w:sz w:val="22"/>
                <w:szCs w:val="22"/>
              </w:rPr>
              <w:tab/>
              <w:t>To receive the outcomes of external verification processes</w:t>
            </w:r>
            <w:r w:rsidR="004E6B18" w:rsidRPr="006A2FFB">
              <w:rPr>
                <w:rFonts w:ascii="Calibri" w:hAnsi="Calibri" w:cs="Arial"/>
                <w:sz w:val="22"/>
                <w:szCs w:val="22"/>
              </w:rPr>
              <w:t xml:space="preserve"> and reports of external verifiers from awarding organisations</w:t>
            </w:r>
            <w:r w:rsidRPr="006A2FFB">
              <w:rPr>
                <w:rFonts w:ascii="Calibri" w:hAnsi="Calibri" w:cs="Arial"/>
                <w:sz w:val="22"/>
                <w:szCs w:val="22"/>
              </w:rPr>
              <w:t>.</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4.3</w:t>
            </w:r>
            <w:r w:rsidRPr="006A2FFB">
              <w:rPr>
                <w:rFonts w:ascii="Calibri" w:hAnsi="Calibri" w:cs="Arial"/>
                <w:sz w:val="22"/>
                <w:szCs w:val="22"/>
              </w:rPr>
              <w:tab/>
              <w:t xml:space="preserve">To have oversight of the Teaching, Learning and Assessment Strategy. </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083823" w:rsidRPr="006A2FFB" w:rsidRDefault="00EA547A">
            <w:pPr>
              <w:ind w:left="720" w:hanging="720"/>
              <w:rPr>
                <w:rFonts w:ascii="Calibri" w:hAnsi="Calibri" w:cs="Arial"/>
                <w:sz w:val="22"/>
                <w:szCs w:val="22"/>
              </w:rPr>
            </w:pPr>
            <w:r w:rsidRPr="006A2FFB">
              <w:rPr>
                <w:rFonts w:ascii="Calibri" w:hAnsi="Calibri" w:cs="Arial"/>
                <w:sz w:val="22"/>
                <w:szCs w:val="22"/>
              </w:rPr>
              <w:t>4.4</w:t>
            </w:r>
            <w:r w:rsidRPr="006A2FFB">
              <w:rPr>
                <w:rFonts w:ascii="Calibri" w:hAnsi="Calibri" w:cs="Arial"/>
                <w:sz w:val="22"/>
                <w:szCs w:val="22"/>
              </w:rPr>
              <w:tab/>
            </w:r>
            <w:r w:rsidR="00083823" w:rsidRPr="006A2FFB">
              <w:rPr>
                <w:rFonts w:ascii="Calibri" w:hAnsi="Calibri" w:cs="Arial"/>
                <w:sz w:val="22"/>
                <w:szCs w:val="22"/>
              </w:rPr>
              <w:t xml:space="preserve">To have oversight of curriculum development and planning to ensure that it is employer responsive and meets skills needs. </w:t>
            </w:r>
            <w:r w:rsidR="00BD0A22" w:rsidRPr="006A2FFB">
              <w:rPr>
                <w:rFonts w:ascii="Calibri" w:hAnsi="Calibri" w:cs="Arial"/>
                <w:sz w:val="22"/>
                <w:szCs w:val="22"/>
              </w:rPr>
              <w:t>The c</w:t>
            </w:r>
            <w:r w:rsidR="00083823" w:rsidRPr="006A2FFB">
              <w:rPr>
                <w:rFonts w:ascii="Calibri" w:hAnsi="Calibri" w:cs="Arial"/>
                <w:sz w:val="22"/>
                <w:szCs w:val="22"/>
              </w:rPr>
              <w:t>ommittee will have due consideration to any relevant LSIP(s). This will include oversight of employer demands and local skills accountabilities.</w:t>
            </w:r>
          </w:p>
          <w:p w:rsidR="00083823" w:rsidRPr="006A2FFB" w:rsidRDefault="00083823">
            <w:pPr>
              <w:ind w:left="720" w:hanging="720"/>
              <w:rPr>
                <w:rFonts w:ascii="Calibri" w:hAnsi="Calibri" w:cs="Arial"/>
                <w:sz w:val="22"/>
                <w:szCs w:val="22"/>
              </w:rPr>
            </w:pPr>
          </w:p>
          <w:p w:rsidR="00EA547A" w:rsidRPr="006A2FFB" w:rsidRDefault="00083823">
            <w:pPr>
              <w:ind w:left="720" w:hanging="720"/>
              <w:rPr>
                <w:rFonts w:ascii="Calibri" w:hAnsi="Calibri" w:cs="Arial"/>
                <w:sz w:val="22"/>
                <w:szCs w:val="22"/>
              </w:rPr>
            </w:pPr>
            <w:r w:rsidRPr="006A2FFB">
              <w:rPr>
                <w:rFonts w:ascii="Calibri" w:hAnsi="Calibri" w:cs="Arial"/>
                <w:sz w:val="22"/>
                <w:szCs w:val="22"/>
              </w:rPr>
              <w:t xml:space="preserve">4.5         </w:t>
            </w:r>
            <w:r w:rsidR="00EA547A" w:rsidRPr="006A2FFB">
              <w:rPr>
                <w:rFonts w:ascii="Calibri" w:hAnsi="Calibri" w:cs="Arial"/>
                <w:sz w:val="22"/>
                <w:szCs w:val="22"/>
              </w:rPr>
              <w:t xml:space="preserve">To </w:t>
            </w:r>
            <w:r w:rsidR="004E6B18" w:rsidRPr="006A2FFB">
              <w:rPr>
                <w:rFonts w:ascii="Calibri" w:hAnsi="Calibri" w:cs="Arial"/>
                <w:sz w:val="22"/>
                <w:szCs w:val="22"/>
              </w:rPr>
              <w:t>assess</w:t>
            </w:r>
            <w:r w:rsidRPr="006A2FFB">
              <w:rPr>
                <w:rFonts w:ascii="Calibri" w:hAnsi="Calibri" w:cs="Arial"/>
                <w:sz w:val="22"/>
                <w:szCs w:val="22"/>
              </w:rPr>
              <w:t xml:space="preserve"> </w:t>
            </w:r>
            <w:r w:rsidR="004E6B18" w:rsidRPr="006A2FFB">
              <w:rPr>
                <w:rFonts w:ascii="Calibri" w:hAnsi="Calibri" w:cs="Arial"/>
                <w:sz w:val="22"/>
                <w:szCs w:val="22"/>
              </w:rPr>
              <w:t>curriculum intent</w:t>
            </w:r>
            <w:r w:rsidRPr="006A2FFB">
              <w:rPr>
                <w:rFonts w:ascii="Calibri" w:hAnsi="Calibri" w:cs="Arial"/>
                <w:sz w:val="22"/>
                <w:szCs w:val="22"/>
              </w:rPr>
              <w:t xml:space="preserve"> (and how governors can be closely involved in the process)</w:t>
            </w:r>
            <w:r w:rsidR="004E6B18" w:rsidRPr="006A2FFB">
              <w:rPr>
                <w:rFonts w:ascii="Calibri" w:hAnsi="Calibri" w:cs="Arial"/>
                <w:sz w:val="22"/>
                <w:szCs w:val="22"/>
              </w:rPr>
              <w:t>, implementation and impact</w:t>
            </w:r>
            <w:r w:rsidR="001B4417" w:rsidRPr="006A2FFB">
              <w:rPr>
                <w:rFonts w:ascii="Calibri" w:hAnsi="Calibri" w:cs="Arial"/>
                <w:sz w:val="22"/>
                <w:szCs w:val="22"/>
              </w:rPr>
              <w:t>,</w:t>
            </w:r>
            <w:r w:rsidR="004E6B18" w:rsidRPr="006A2FFB">
              <w:rPr>
                <w:rFonts w:ascii="Calibri" w:hAnsi="Calibri" w:cs="Arial"/>
                <w:sz w:val="22"/>
                <w:szCs w:val="22"/>
              </w:rPr>
              <w:t xml:space="preserve"> including </w:t>
            </w:r>
            <w:r w:rsidR="001B4417" w:rsidRPr="006A2FFB">
              <w:rPr>
                <w:rFonts w:ascii="Calibri" w:hAnsi="Calibri" w:cs="Arial"/>
                <w:sz w:val="22"/>
                <w:szCs w:val="22"/>
              </w:rPr>
              <w:t>the monitoring</w:t>
            </w:r>
            <w:r w:rsidR="004E6B18" w:rsidRPr="006A2FFB">
              <w:rPr>
                <w:rFonts w:ascii="Calibri" w:hAnsi="Calibri" w:cs="Arial"/>
                <w:sz w:val="22"/>
                <w:szCs w:val="22"/>
              </w:rPr>
              <w:t xml:space="preserve"> of </w:t>
            </w:r>
            <w:r w:rsidR="00EA547A" w:rsidRPr="006A2FFB">
              <w:rPr>
                <w:rFonts w:ascii="Calibri" w:hAnsi="Calibri" w:cs="Arial"/>
                <w:sz w:val="22"/>
                <w:szCs w:val="22"/>
              </w:rPr>
              <w:t>annual targets for learner</w:t>
            </w:r>
            <w:r w:rsidR="004E6B18" w:rsidRPr="006A2FFB">
              <w:rPr>
                <w:rFonts w:ascii="Calibri" w:hAnsi="Calibri" w:cs="Arial"/>
                <w:sz w:val="22"/>
                <w:szCs w:val="22"/>
              </w:rPr>
              <w:t>s’</w:t>
            </w:r>
            <w:r w:rsidR="00EA547A" w:rsidRPr="006A2FFB">
              <w:rPr>
                <w:rFonts w:ascii="Calibri" w:hAnsi="Calibri" w:cs="Arial"/>
                <w:sz w:val="22"/>
                <w:szCs w:val="22"/>
              </w:rPr>
              <w:t xml:space="preserve"> retention</w:t>
            </w:r>
            <w:r w:rsidR="004E6B18" w:rsidRPr="006A2FFB">
              <w:rPr>
                <w:rFonts w:ascii="Calibri" w:hAnsi="Calibri" w:cs="Arial"/>
                <w:sz w:val="22"/>
                <w:szCs w:val="22"/>
              </w:rPr>
              <w:t>, progress,</w:t>
            </w:r>
            <w:r w:rsidR="00EA547A" w:rsidRPr="006A2FFB">
              <w:rPr>
                <w:rFonts w:ascii="Calibri" w:hAnsi="Calibri" w:cs="Arial"/>
                <w:sz w:val="22"/>
                <w:szCs w:val="22"/>
              </w:rPr>
              <w:t xml:space="preserve"> achievement and </w:t>
            </w:r>
            <w:r w:rsidR="004E6B18" w:rsidRPr="006A2FFB">
              <w:rPr>
                <w:rFonts w:ascii="Calibri" w:hAnsi="Calibri" w:cs="Arial"/>
                <w:sz w:val="22"/>
                <w:szCs w:val="22"/>
              </w:rPr>
              <w:t>destinations</w:t>
            </w:r>
            <w:r w:rsidR="001B4417" w:rsidRPr="006A2FFB">
              <w:rPr>
                <w:rFonts w:ascii="Calibri" w:hAnsi="Calibri" w:cs="Arial"/>
                <w:sz w:val="22"/>
                <w:szCs w:val="22"/>
              </w:rPr>
              <w:t>,</w:t>
            </w:r>
            <w:r w:rsidR="004E6B18" w:rsidRPr="006A2FFB">
              <w:rPr>
                <w:rFonts w:ascii="Calibri" w:hAnsi="Calibri" w:cs="Arial"/>
                <w:sz w:val="22"/>
                <w:szCs w:val="22"/>
              </w:rPr>
              <w:t xml:space="preserve"> and </w:t>
            </w:r>
            <w:r w:rsidR="00EA547A" w:rsidRPr="006A2FFB">
              <w:rPr>
                <w:rFonts w:ascii="Calibri" w:hAnsi="Calibri" w:cs="Arial"/>
                <w:sz w:val="22"/>
                <w:szCs w:val="22"/>
              </w:rPr>
              <w:t xml:space="preserve">to receive updates on progress </w:t>
            </w:r>
            <w:r w:rsidR="004E6B18" w:rsidRPr="006A2FFB">
              <w:rPr>
                <w:rFonts w:ascii="Calibri" w:hAnsi="Calibri" w:cs="Arial"/>
                <w:sz w:val="22"/>
                <w:szCs w:val="22"/>
              </w:rPr>
              <w:t>against</w:t>
            </w:r>
            <w:r w:rsidR="00EA547A" w:rsidRPr="006A2FFB">
              <w:rPr>
                <w:rFonts w:ascii="Calibri" w:hAnsi="Calibri" w:cs="Arial"/>
                <w:sz w:val="22"/>
                <w:szCs w:val="22"/>
              </w:rPr>
              <w:t xml:space="preserve"> those targets.</w:t>
            </w:r>
          </w:p>
          <w:p w:rsidR="00083823" w:rsidRPr="006A2FFB" w:rsidRDefault="00083823">
            <w:pPr>
              <w:ind w:left="720" w:hanging="720"/>
              <w:rPr>
                <w:rFonts w:ascii="Calibri" w:hAnsi="Calibri" w:cs="Arial"/>
                <w:sz w:val="22"/>
                <w:szCs w:val="22"/>
              </w:rPr>
            </w:pPr>
          </w:p>
          <w:p w:rsidR="00083823" w:rsidRPr="006A2FFB" w:rsidRDefault="00083823">
            <w:pPr>
              <w:ind w:left="720" w:hanging="720"/>
              <w:rPr>
                <w:rFonts w:ascii="Calibri" w:hAnsi="Calibri" w:cs="Arial"/>
                <w:sz w:val="22"/>
                <w:szCs w:val="22"/>
              </w:rPr>
            </w:pPr>
            <w:r w:rsidRPr="006A2FFB">
              <w:rPr>
                <w:rFonts w:ascii="Calibri" w:hAnsi="Calibri" w:cs="Arial"/>
                <w:sz w:val="22"/>
                <w:szCs w:val="22"/>
              </w:rPr>
              <w:t>4.6        To receive information on qualification reforms and have oversight of the planned college response</w:t>
            </w:r>
            <w:r w:rsidR="006A2FFB" w:rsidRPr="006A2FFB">
              <w:rPr>
                <w:rFonts w:ascii="Calibri" w:hAnsi="Calibri" w:cs="Arial"/>
                <w:sz w:val="22"/>
                <w:szCs w:val="22"/>
              </w:rPr>
              <w:t>.</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pStyle w:val="Footer"/>
              <w:tabs>
                <w:tab w:val="left" w:pos="720"/>
              </w:tabs>
              <w:ind w:left="720" w:hanging="720"/>
              <w:rPr>
                <w:rFonts w:ascii="Calibri" w:hAnsi="Calibri" w:cs="Arial"/>
                <w:szCs w:val="22"/>
              </w:rPr>
            </w:pPr>
            <w:r w:rsidRPr="006A2FFB">
              <w:rPr>
                <w:rFonts w:ascii="Calibri" w:hAnsi="Calibri" w:cs="Arial"/>
                <w:szCs w:val="22"/>
              </w:rPr>
              <w:t>4.</w:t>
            </w:r>
            <w:r w:rsidR="0050250C" w:rsidRPr="006A2FFB">
              <w:rPr>
                <w:rFonts w:ascii="Calibri" w:hAnsi="Calibri" w:cs="Arial"/>
                <w:szCs w:val="22"/>
              </w:rPr>
              <w:t>7</w:t>
            </w:r>
            <w:r w:rsidRPr="006A2FFB">
              <w:rPr>
                <w:rFonts w:ascii="Calibri" w:hAnsi="Calibri" w:cs="Arial"/>
                <w:szCs w:val="22"/>
              </w:rPr>
              <w:t xml:space="preserve">   </w:t>
            </w:r>
            <w:r w:rsidRPr="006A2FFB">
              <w:rPr>
                <w:rFonts w:ascii="Calibri" w:hAnsi="Calibri" w:cs="Arial"/>
                <w:szCs w:val="22"/>
              </w:rPr>
              <w:tab/>
              <w:t>To have oversight of the Learner Voice Strategy and to receive results of the annual student survey and outcomes from focus group sessions with students and monitor performance against Learner Voice Strategy objectives.</w:t>
            </w:r>
          </w:p>
          <w:p w:rsidR="00EA547A" w:rsidRPr="006A2FFB" w:rsidRDefault="00EA547A">
            <w:pPr>
              <w:pStyle w:val="Footer"/>
              <w:tabs>
                <w:tab w:val="left" w:pos="720"/>
              </w:tabs>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tabs>
                <w:tab w:val="left" w:pos="766"/>
              </w:tabs>
              <w:ind w:left="720" w:hanging="720"/>
              <w:rPr>
                <w:rFonts w:ascii="Calibri" w:hAnsi="Calibri" w:cs="Arial"/>
                <w:iCs/>
                <w:sz w:val="22"/>
                <w:szCs w:val="22"/>
              </w:rPr>
            </w:pPr>
            <w:r w:rsidRPr="006A2FFB">
              <w:rPr>
                <w:rFonts w:ascii="Calibri" w:hAnsi="Calibri" w:cs="Arial"/>
                <w:iCs/>
                <w:sz w:val="22"/>
                <w:szCs w:val="22"/>
              </w:rPr>
              <w:t>4.</w:t>
            </w:r>
            <w:r w:rsidR="0050250C" w:rsidRPr="006A2FFB">
              <w:rPr>
                <w:rFonts w:ascii="Calibri" w:hAnsi="Calibri" w:cs="Arial"/>
                <w:iCs/>
                <w:sz w:val="22"/>
                <w:szCs w:val="22"/>
              </w:rPr>
              <w:t>8</w:t>
            </w:r>
            <w:r w:rsidRPr="006A2FFB">
              <w:rPr>
                <w:rFonts w:ascii="Calibri" w:hAnsi="Calibri" w:cs="Arial"/>
                <w:iCs/>
                <w:sz w:val="22"/>
                <w:szCs w:val="22"/>
              </w:rPr>
              <w:tab/>
              <w:t>To regularly review formal complaints received by the College and subsequent actions taken by the executive.</w:t>
            </w:r>
          </w:p>
          <w:p w:rsidR="00EA547A" w:rsidRPr="006A2FFB" w:rsidRDefault="00EA547A">
            <w:pPr>
              <w:tabs>
                <w:tab w:val="left" w:pos="766"/>
              </w:tabs>
              <w:ind w:left="720" w:hanging="720"/>
              <w:rPr>
                <w:rFonts w:ascii="Calibri" w:hAnsi="Calibri" w:cs="Arial"/>
                <w:iCs/>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tabs>
                <w:tab w:val="left" w:pos="766"/>
              </w:tabs>
              <w:ind w:left="720" w:hanging="720"/>
              <w:rPr>
                <w:rFonts w:ascii="Calibri" w:hAnsi="Calibri" w:cs="Arial"/>
                <w:iCs/>
                <w:sz w:val="22"/>
                <w:szCs w:val="22"/>
              </w:rPr>
            </w:pPr>
            <w:r w:rsidRPr="006A2FFB">
              <w:rPr>
                <w:rFonts w:ascii="Calibri" w:hAnsi="Calibri" w:cs="Arial"/>
                <w:iCs/>
                <w:sz w:val="22"/>
                <w:szCs w:val="22"/>
              </w:rPr>
              <w:t>4.</w:t>
            </w:r>
            <w:r w:rsidR="0050250C" w:rsidRPr="006A2FFB">
              <w:rPr>
                <w:rFonts w:ascii="Calibri" w:hAnsi="Calibri" w:cs="Arial"/>
                <w:iCs/>
                <w:sz w:val="22"/>
                <w:szCs w:val="22"/>
              </w:rPr>
              <w:t>9</w:t>
            </w:r>
            <w:r w:rsidRPr="006A2FFB">
              <w:rPr>
                <w:rFonts w:ascii="Calibri" w:hAnsi="Calibri" w:cs="Arial"/>
                <w:iCs/>
                <w:sz w:val="22"/>
                <w:szCs w:val="22"/>
              </w:rPr>
              <w:t xml:space="preserve">       </w:t>
            </w:r>
            <w:r w:rsidRPr="006A2FFB">
              <w:rPr>
                <w:rFonts w:ascii="Calibri" w:hAnsi="Calibri" w:cs="Arial"/>
                <w:iCs/>
                <w:sz w:val="22"/>
                <w:szCs w:val="22"/>
              </w:rPr>
              <w:tab/>
              <w:t>To regularly review issues of student discipline.</w:t>
            </w:r>
          </w:p>
          <w:p w:rsidR="00EA547A" w:rsidRPr="006A2FFB" w:rsidRDefault="00EA547A">
            <w:pPr>
              <w:tabs>
                <w:tab w:val="left" w:pos="766"/>
              </w:tabs>
              <w:ind w:left="720" w:hanging="720"/>
              <w:rPr>
                <w:rFonts w:ascii="Calibri" w:hAnsi="Calibri" w:cs="Arial"/>
                <w:iCs/>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rPr>
                <w:rFonts w:ascii="Calibri" w:hAnsi="Calibri" w:cs="Arial"/>
                <w:b/>
                <w:sz w:val="22"/>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pStyle w:val="BodyTextIndent"/>
              <w:ind w:left="720" w:hanging="720"/>
              <w:rPr>
                <w:rFonts w:ascii="Calibri" w:hAnsi="Calibri" w:cs="Arial"/>
                <w:sz w:val="22"/>
              </w:rPr>
            </w:pPr>
            <w:r w:rsidRPr="006A2FFB">
              <w:rPr>
                <w:rFonts w:ascii="Calibri" w:hAnsi="Calibri" w:cs="Arial"/>
                <w:sz w:val="22"/>
              </w:rPr>
              <w:t>4.</w:t>
            </w:r>
            <w:r w:rsidR="0050250C" w:rsidRPr="006A2FFB">
              <w:rPr>
                <w:rFonts w:ascii="Calibri" w:hAnsi="Calibri" w:cs="Arial"/>
                <w:sz w:val="22"/>
              </w:rPr>
              <w:t>10</w:t>
            </w:r>
            <w:r w:rsidRPr="006A2FFB">
              <w:rPr>
                <w:rFonts w:ascii="Calibri" w:hAnsi="Calibri" w:cs="Arial"/>
                <w:sz w:val="22"/>
              </w:rPr>
              <w:tab/>
              <w:t xml:space="preserve">To receive updates on academic and vocational </w:t>
            </w:r>
            <w:r w:rsidRPr="006A2FFB">
              <w:rPr>
                <w:rFonts w:ascii="Calibri" w:hAnsi="Calibri" w:cs="Arial"/>
                <w:sz w:val="22"/>
              </w:rPr>
              <w:tab/>
              <w:t>examination results.</w:t>
            </w:r>
          </w:p>
          <w:p w:rsidR="00EA547A" w:rsidRPr="006A2FFB" w:rsidRDefault="00EA547A">
            <w:pPr>
              <w:pStyle w:val="BodyTextIndent"/>
              <w:ind w:left="720" w:hanging="720"/>
              <w:rPr>
                <w:rFonts w:ascii="Calibri" w:hAnsi="Calibri" w:cs="Arial"/>
                <w:sz w:val="16"/>
                <w:szCs w:val="16"/>
              </w:rPr>
            </w:pPr>
          </w:p>
        </w:tc>
      </w:tr>
      <w:tr w:rsidR="00EA547A" w:rsidTr="00EA547A">
        <w:trPr>
          <w:trHeight w:val="629"/>
        </w:trPr>
        <w:tc>
          <w:tcPr>
            <w:tcW w:w="2628" w:type="dxa"/>
            <w:tcBorders>
              <w:top w:val="nil"/>
              <w:left w:val="single" w:sz="4" w:space="0" w:color="auto"/>
              <w:bottom w:val="nil"/>
              <w:right w:val="single" w:sz="4" w:space="0" w:color="auto"/>
            </w:tcBorders>
            <w:shd w:val="clear" w:color="auto" w:fill="auto"/>
          </w:tcPr>
          <w:p w:rsidR="00EA547A" w:rsidRDefault="00EA547A">
            <w:pPr>
              <w:pStyle w:val="Footer"/>
              <w:tabs>
                <w:tab w:val="left" w:pos="720"/>
              </w:tabs>
              <w:rPr>
                <w:rFonts w:ascii="Calibri" w:hAnsi="Calibri" w:cs="Arial"/>
                <w:b/>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w:t>
            </w:r>
            <w:r w:rsidR="0050250C" w:rsidRPr="006A2FFB">
              <w:rPr>
                <w:rFonts w:ascii="Calibri" w:hAnsi="Calibri" w:cs="Arial"/>
                <w:sz w:val="22"/>
                <w:szCs w:val="22"/>
              </w:rPr>
              <w:t>11</w:t>
            </w:r>
            <w:r w:rsidRPr="006A2FFB">
              <w:rPr>
                <w:rFonts w:ascii="Calibri" w:hAnsi="Calibri" w:cs="Arial"/>
                <w:sz w:val="22"/>
                <w:szCs w:val="22"/>
              </w:rPr>
              <w:tab/>
              <w:t xml:space="preserve">To receive regular reports on </w:t>
            </w:r>
            <w:r w:rsidR="004E6B18" w:rsidRPr="006A2FFB">
              <w:rPr>
                <w:rFonts w:ascii="Calibri" w:hAnsi="Calibri" w:cs="Arial"/>
                <w:sz w:val="22"/>
                <w:szCs w:val="22"/>
              </w:rPr>
              <w:t>curriculum implementation</w:t>
            </w:r>
            <w:r w:rsidR="001B4417" w:rsidRPr="006A2FFB">
              <w:rPr>
                <w:rFonts w:ascii="Calibri" w:hAnsi="Calibri" w:cs="Arial"/>
                <w:sz w:val="22"/>
                <w:szCs w:val="22"/>
              </w:rPr>
              <w:t>,</w:t>
            </w:r>
            <w:r w:rsidR="004E6B18" w:rsidRPr="006A2FFB">
              <w:rPr>
                <w:rFonts w:ascii="Calibri" w:hAnsi="Calibri" w:cs="Arial"/>
                <w:sz w:val="22"/>
                <w:szCs w:val="22"/>
              </w:rPr>
              <w:t xml:space="preserve"> including </w:t>
            </w:r>
            <w:r w:rsidRPr="006A2FFB">
              <w:rPr>
                <w:rFonts w:ascii="Calibri" w:hAnsi="Calibri" w:cs="Arial"/>
                <w:sz w:val="22"/>
                <w:szCs w:val="22"/>
              </w:rPr>
              <w:t>the quality of teaching</w:t>
            </w:r>
            <w:r w:rsidR="004E6B18" w:rsidRPr="006A2FFB">
              <w:rPr>
                <w:rFonts w:ascii="Calibri" w:hAnsi="Calibri" w:cs="Arial"/>
                <w:sz w:val="22"/>
                <w:szCs w:val="22"/>
              </w:rPr>
              <w:t>,</w:t>
            </w:r>
            <w:r w:rsidRPr="006A2FFB">
              <w:rPr>
                <w:rFonts w:ascii="Calibri" w:hAnsi="Calibri" w:cs="Arial"/>
                <w:sz w:val="22"/>
                <w:szCs w:val="22"/>
              </w:rPr>
              <w:t xml:space="preserve"> learning </w:t>
            </w:r>
            <w:r w:rsidR="004E6B18" w:rsidRPr="006A2FFB">
              <w:rPr>
                <w:rFonts w:ascii="Calibri" w:hAnsi="Calibri" w:cs="Arial"/>
                <w:sz w:val="22"/>
                <w:szCs w:val="22"/>
              </w:rPr>
              <w:t xml:space="preserve">and assessment </w:t>
            </w:r>
            <w:r w:rsidRPr="006A2FFB">
              <w:rPr>
                <w:rFonts w:ascii="Calibri" w:hAnsi="Calibri" w:cs="Arial"/>
                <w:sz w:val="22"/>
                <w:szCs w:val="22"/>
              </w:rPr>
              <w:t xml:space="preserve">with specific reference to the </w:t>
            </w:r>
            <w:r w:rsidR="004E6B18" w:rsidRPr="006A2FFB">
              <w:rPr>
                <w:rFonts w:ascii="Calibri" w:hAnsi="Calibri" w:cs="Arial"/>
                <w:sz w:val="22"/>
                <w:szCs w:val="22"/>
              </w:rPr>
              <w:t xml:space="preserve">‘deep dives’ incorporating </w:t>
            </w:r>
            <w:r w:rsidRPr="006A2FFB">
              <w:rPr>
                <w:rFonts w:ascii="Calibri" w:hAnsi="Calibri" w:cs="Arial"/>
                <w:sz w:val="22"/>
                <w:szCs w:val="22"/>
              </w:rPr>
              <w:t>lesson observations and associated actions.</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nil"/>
              <w:right w:val="single" w:sz="4" w:space="0" w:color="auto"/>
            </w:tcBorders>
            <w:shd w:val="clear" w:color="auto" w:fill="auto"/>
          </w:tcPr>
          <w:p w:rsidR="00EA547A" w:rsidRDefault="00EA547A">
            <w:pPr>
              <w:pStyle w:val="Footer"/>
              <w:tabs>
                <w:tab w:val="left" w:pos="720"/>
              </w:tabs>
              <w:rPr>
                <w:rFonts w:ascii="Calibri" w:hAnsi="Calibri" w:cs="Arial"/>
                <w:b/>
                <w:szCs w:val="22"/>
              </w:rPr>
            </w:pPr>
          </w:p>
        </w:tc>
        <w:tc>
          <w:tcPr>
            <w:tcW w:w="7261" w:type="dxa"/>
            <w:tcBorders>
              <w:top w:val="nil"/>
              <w:left w:val="single" w:sz="4" w:space="0" w:color="auto"/>
              <w:bottom w:val="nil"/>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4.1</w:t>
            </w:r>
            <w:r w:rsidR="0050250C" w:rsidRPr="006A2FFB">
              <w:rPr>
                <w:rFonts w:ascii="Calibri" w:hAnsi="Calibri" w:cs="Arial"/>
                <w:sz w:val="22"/>
                <w:szCs w:val="22"/>
              </w:rPr>
              <w:t>2</w:t>
            </w:r>
            <w:r w:rsidRPr="006A2FFB">
              <w:rPr>
                <w:rFonts w:ascii="Calibri" w:hAnsi="Calibri" w:cs="Arial"/>
                <w:sz w:val="22"/>
                <w:szCs w:val="22"/>
              </w:rPr>
              <w:t xml:space="preserve">     </w:t>
            </w:r>
            <w:r w:rsidRPr="006A2FFB">
              <w:rPr>
                <w:rFonts w:ascii="Calibri" w:hAnsi="Calibri" w:cs="Arial"/>
                <w:sz w:val="22"/>
                <w:szCs w:val="22"/>
              </w:rPr>
              <w:tab/>
              <w:t>To review the performance of the College against national benchmarks</w:t>
            </w:r>
            <w:r w:rsidR="004E6B18" w:rsidRPr="006A2FFB">
              <w:rPr>
                <w:rFonts w:ascii="Calibri" w:hAnsi="Calibri" w:cs="Arial"/>
                <w:sz w:val="22"/>
                <w:szCs w:val="22"/>
              </w:rPr>
              <w:t>.</w:t>
            </w:r>
          </w:p>
          <w:p w:rsidR="004D5866" w:rsidRPr="006A2FFB" w:rsidRDefault="004D5866">
            <w:pPr>
              <w:ind w:left="720" w:hanging="720"/>
              <w:rPr>
                <w:rFonts w:ascii="Calibri" w:hAnsi="Calibri" w:cs="Arial"/>
                <w:sz w:val="22"/>
                <w:szCs w:val="22"/>
              </w:rPr>
            </w:pPr>
          </w:p>
          <w:p w:rsidR="004D5866" w:rsidRPr="006A2FFB" w:rsidRDefault="004D5866">
            <w:pPr>
              <w:ind w:left="720" w:hanging="720"/>
              <w:rPr>
                <w:rFonts w:ascii="Calibri" w:hAnsi="Calibri" w:cs="Arial"/>
                <w:sz w:val="22"/>
                <w:szCs w:val="22"/>
              </w:rPr>
            </w:pPr>
            <w:r w:rsidRPr="006A2FFB">
              <w:rPr>
                <w:rFonts w:ascii="Calibri" w:hAnsi="Calibri" w:cs="Arial"/>
                <w:sz w:val="22"/>
                <w:szCs w:val="22"/>
              </w:rPr>
              <w:lastRenderedPageBreak/>
              <w:t>4.1</w:t>
            </w:r>
            <w:r w:rsidR="0050250C" w:rsidRPr="006A2FFB">
              <w:rPr>
                <w:rFonts w:ascii="Calibri" w:hAnsi="Calibri" w:cs="Arial"/>
                <w:sz w:val="22"/>
                <w:szCs w:val="22"/>
              </w:rPr>
              <w:t>3</w:t>
            </w:r>
            <w:r w:rsidRPr="006A2FFB">
              <w:rPr>
                <w:rFonts w:ascii="Calibri" w:hAnsi="Calibri" w:cs="Arial"/>
                <w:sz w:val="22"/>
                <w:szCs w:val="22"/>
              </w:rPr>
              <w:t xml:space="preserve">       </w:t>
            </w:r>
            <w:r w:rsidR="001B4417" w:rsidRPr="006A2FFB">
              <w:rPr>
                <w:rFonts w:ascii="Calibri" w:hAnsi="Calibri" w:cs="Arial"/>
                <w:sz w:val="22"/>
                <w:szCs w:val="22"/>
              </w:rPr>
              <w:t>To receive updates on s</w:t>
            </w:r>
            <w:r w:rsidRPr="006A2FFB">
              <w:rPr>
                <w:rFonts w:ascii="Calibri" w:hAnsi="Calibri" w:cs="Arial"/>
                <w:sz w:val="22"/>
                <w:szCs w:val="22"/>
              </w:rPr>
              <w:t>afeguarding and Prevent</w:t>
            </w:r>
          </w:p>
          <w:p w:rsidR="00083823" w:rsidRPr="006A2FFB" w:rsidRDefault="00083823">
            <w:pPr>
              <w:ind w:left="720" w:hanging="720"/>
              <w:rPr>
                <w:rFonts w:ascii="Calibri" w:hAnsi="Calibri" w:cs="Arial"/>
                <w:sz w:val="22"/>
                <w:szCs w:val="22"/>
              </w:rPr>
            </w:pPr>
          </w:p>
          <w:p w:rsidR="00083823" w:rsidRPr="006A2FFB" w:rsidRDefault="00083823">
            <w:pPr>
              <w:ind w:left="720" w:hanging="720"/>
              <w:rPr>
                <w:rFonts w:ascii="Calibri" w:hAnsi="Calibri" w:cs="Arial"/>
                <w:sz w:val="22"/>
                <w:szCs w:val="22"/>
              </w:rPr>
            </w:pPr>
            <w:r w:rsidRPr="006A2FFB">
              <w:rPr>
                <w:rFonts w:ascii="Calibri" w:hAnsi="Calibri" w:cs="Arial"/>
                <w:sz w:val="22"/>
                <w:szCs w:val="22"/>
              </w:rPr>
              <w:t>4.1</w:t>
            </w:r>
            <w:r w:rsidR="0050250C" w:rsidRPr="006A2FFB">
              <w:rPr>
                <w:rFonts w:ascii="Calibri" w:hAnsi="Calibri" w:cs="Arial"/>
                <w:sz w:val="22"/>
                <w:szCs w:val="22"/>
              </w:rPr>
              <w:t>4</w:t>
            </w:r>
            <w:r w:rsidRPr="006A2FFB">
              <w:rPr>
                <w:rFonts w:ascii="Calibri" w:hAnsi="Calibri" w:cs="Arial"/>
                <w:sz w:val="22"/>
                <w:szCs w:val="22"/>
              </w:rPr>
              <w:t xml:space="preserve">      To have oversight </w:t>
            </w:r>
            <w:r w:rsidR="0050250C" w:rsidRPr="006A2FFB">
              <w:rPr>
                <w:rFonts w:ascii="Calibri" w:hAnsi="Calibri" w:cs="Arial"/>
                <w:sz w:val="22"/>
                <w:szCs w:val="22"/>
              </w:rPr>
              <w:t>of</w:t>
            </w:r>
            <w:r w:rsidRPr="006A2FFB">
              <w:rPr>
                <w:rFonts w:ascii="Calibri" w:hAnsi="Calibri" w:cs="Arial"/>
                <w:sz w:val="22"/>
                <w:szCs w:val="22"/>
              </w:rPr>
              <w:t xml:space="preserve"> the </w:t>
            </w:r>
            <w:r w:rsidR="0050250C" w:rsidRPr="006A2FFB">
              <w:rPr>
                <w:rFonts w:ascii="Calibri" w:hAnsi="Calibri" w:cs="Arial"/>
                <w:sz w:val="22"/>
                <w:szCs w:val="22"/>
              </w:rPr>
              <w:t>colleges CEIAG activities, with a specific focus on how they align with expectations in the EIF in relation to personal development</w:t>
            </w:r>
            <w:r w:rsidR="00BD0A22" w:rsidRPr="006A2FFB">
              <w:rPr>
                <w:rFonts w:ascii="Calibri" w:hAnsi="Calibri" w:cs="Arial"/>
                <w:sz w:val="22"/>
                <w:szCs w:val="22"/>
              </w:rPr>
              <w:t>.</w:t>
            </w:r>
          </w:p>
          <w:p w:rsidR="004D5866" w:rsidRPr="006A2FFB" w:rsidRDefault="004D5866">
            <w:pPr>
              <w:ind w:left="720" w:hanging="720"/>
              <w:rPr>
                <w:rFonts w:ascii="Calibri" w:hAnsi="Calibri" w:cs="Arial"/>
                <w:sz w:val="22"/>
                <w:szCs w:val="22"/>
              </w:rPr>
            </w:pPr>
          </w:p>
          <w:p w:rsidR="004D5866" w:rsidRPr="006A2FFB" w:rsidRDefault="004D5866">
            <w:pPr>
              <w:ind w:left="720" w:hanging="720"/>
              <w:rPr>
                <w:rFonts w:ascii="Calibri" w:hAnsi="Calibri" w:cs="Arial"/>
                <w:sz w:val="22"/>
                <w:szCs w:val="22"/>
              </w:rPr>
            </w:pPr>
            <w:r w:rsidRPr="006A2FFB">
              <w:rPr>
                <w:rFonts w:ascii="Calibri" w:hAnsi="Calibri" w:cs="Arial"/>
                <w:sz w:val="22"/>
                <w:szCs w:val="22"/>
              </w:rPr>
              <w:t>4.1</w:t>
            </w:r>
            <w:r w:rsidR="0050250C" w:rsidRPr="006A2FFB">
              <w:rPr>
                <w:rFonts w:ascii="Calibri" w:hAnsi="Calibri" w:cs="Arial"/>
                <w:sz w:val="22"/>
                <w:szCs w:val="22"/>
              </w:rPr>
              <w:t>5</w:t>
            </w:r>
            <w:r w:rsidRPr="006A2FFB">
              <w:rPr>
                <w:rFonts w:ascii="Calibri" w:hAnsi="Calibri" w:cs="Arial"/>
                <w:sz w:val="22"/>
                <w:szCs w:val="22"/>
              </w:rPr>
              <w:t xml:space="preserve">      To r</w:t>
            </w:r>
            <w:r w:rsidR="001B4417" w:rsidRPr="006A2FFB">
              <w:rPr>
                <w:rFonts w:ascii="Calibri" w:hAnsi="Calibri" w:cs="Arial"/>
                <w:sz w:val="22"/>
                <w:szCs w:val="22"/>
              </w:rPr>
              <w:t>eceive updates on e</w:t>
            </w:r>
            <w:r w:rsidRPr="006A2FFB">
              <w:rPr>
                <w:rFonts w:ascii="Calibri" w:hAnsi="Calibri" w:cs="Arial"/>
                <w:sz w:val="22"/>
                <w:szCs w:val="22"/>
              </w:rPr>
              <w:t xml:space="preserve">quality and </w:t>
            </w:r>
            <w:r w:rsidR="001B4417" w:rsidRPr="006A2FFB">
              <w:rPr>
                <w:rFonts w:ascii="Calibri" w:hAnsi="Calibri" w:cs="Arial"/>
                <w:sz w:val="22"/>
                <w:szCs w:val="22"/>
              </w:rPr>
              <w:t>d</w:t>
            </w:r>
            <w:r w:rsidRPr="006A2FFB">
              <w:rPr>
                <w:rFonts w:ascii="Calibri" w:hAnsi="Calibri" w:cs="Arial"/>
                <w:sz w:val="22"/>
                <w:szCs w:val="22"/>
              </w:rPr>
              <w:t>iversity data and actions being taken to close any gaps.</w:t>
            </w:r>
            <w:r w:rsidR="00083823" w:rsidRPr="006A2FFB">
              <w:rPr>
                <w:rFonts w:ascii="Calibri" w:hAnsi="Calibri" w:cs="Arial"/>
                <w:sz w:val="22"/>
                <w:szCs w:val="22"/>
              </w:rPr>
              <w:t xml:space="preserve"> Included within this is progress being made to implement the Community Engagement Strategy</w:t>
            </w:r>
            <w:r w:rsidR="00BD0A22" w:rsidRPr="006A2FFB">
              <w:rPr>
                <w:rFonts w:ascii="Calibri" w:hAnsi="Calibri" w:cs="Arial"/>
                <w:sz w:val="22"/>
                <w:szCs w:val="22"/>
              </w:rPr>
              <w:t>.</w:t>
            </w:r>
          </w:p>
          <w:p w:rsidR="00EA547A" w:rsidRPr="006A2FFB" w:rsidRDefault="00EA547A">
            <w:pPr>
              <w:ind w:left="720" w:hanging="720"/>
              <w:rPr>
                <w:rFonts w:ascii="Calibri" w:hAnsi="Calibri" w:cs="Arial"/>
                <w:sz w:val="16"/>
                <w:szCs w:val="16"/>
              </w:rPr>
            </w:pPr>
          </w:p>
        </w:tc>
      </w:tr>
      <w:tr w:rsidR="00EA547A" w:rsidTr="00EA547A">
        <w:tc>
          <w:tcPr>
            <w:tcW w:w="2628" w:type="dxa"/>
            <w:tcBorders>
              <w:top w:val="nil"/>
              <w:left w:val="single" w:sz="4" w:space="0" w:color="auto"/>
              <w:bottom w:val="single" w:sz="4" w:space="0" w:color="auto"/>
              <w:right w:val="single" w:sz="4" w:space="0" w:color="auto"/>
            </w:tcBorders>
            <w:shd w:val="clear" w:color="auto" w:fill="auto"/>
          </w:tcPr>
          <w:p w:rsidR="00EA547A" w:rsidRDefault="00EA547A">
            <w:pPr>
              <w:pStyle w:val="Footer"/>
              <w:tabs>
                <w:tab w:val="left" w:pos="720"/>
              </w:tabs>
              <w:rPr>
                <w:rFonts w:ascii="Calibri" w:hAnsi="Calibri" w:cs="Arial"/>
                <w:b/>
                <w:szCs w:val="22"/>
              </w:rPr>
            </w:pPr>
          </w:p>
        </w:tc>
        <w:tc>
          <w:tcPr>
            <w:tcW w:w="7261" w:type="dxa"/>
            <w:tcBorders>
              <w:top w:val="nil"/>
              <w:left w:val="single" w:sz="4" w:space="0" w:color="auto"/>
              <w:bottom w:val="single" w:sz="4" w:space="0" w:color="auto"/>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4.1</w:t>
            </w:r>
            <w:r w:rsidR="0050250C" w:rsidRPr="006A2FFB">
              <w:rPr>
                <w:rFonts w:ascii="Calibri" w:hAnsi="Calibri" w:cs="Arial"/>
                <w:sz w:val="22"/>
                <w:szCs w:val="22"/>
              </w:rPr>
              <w:t>6</w:t>
            </w:r>
            <w:r w:rsidRPr="006A2FFB">
              <w:rPr>
                <w:rFonts w:ascii="Calibri" w:hAnsi="Calibri" w:cs="Arial"/>
                <w:sz w:val="22"/>
                <w:szCs w:val="22"/>
              </w:rPr>
              <w:tab/>
              <w:t>To review the Committee’s performance in relation to its Terms of Reference on an annual basis.</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EA547A" w:rsidRDefault="00EA547A">
            <w:pPr>
              <w:pStyle w:val="Footer"/>
              <w:tabs>
                <w:tab w:val="left" w:pos="720"/>
              </w:tabs>
              <w:ind w:left="360" w:hanging="360"/>
              <w:rPr>
                <w:rFonts w:ascii="Calibri" w:hAnsi="Calibri" w:cs="Arial"/>
                <w:b/>
                <w:szCs w:val="22"/>
              </w:rPr>
            </w:pPr>
            <w:r>
              <w:rPr>
                <w:rFonts w:ascii="Calibri" w:hAnsi="Calibri" w:cs="Arial"/>
                <w:b/>
                <w:szCs w:val="22"/>
              </w:rPr>
              <w:t xml:space="preserve">5. </w:t>
            </w:r>
            <w:r>
              <w:rPr>
                <w:rFonts w:ascii="Calibri" w:hAnsi="Calibri" w:cs="Arial"/>
                <w:b/>
                <w:szCs w:val="22"/>
              </w:rPr>
              <w:tab/>
              <w:t xml:space="preserve">Election of Chair </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5.1</w:t>
            </w:r>
            <w:r w:rsidRPr="006A2FFB">
              <w:rPr>
                <w:rFonts w:ascii="Calibri" w:hAnsi="Calibri" w:cs="Arial"/>
                <w:sz w:val="22"/>
                <w:szCs w:val="22"/>
              </w:rPr>
              <w:tab/>
              <w:t>The Chair shall be elected at the first me</w:t>
            </w:r>
            <w:r w:rsidR="001B4417" w:rsidRPr="006A2FFB">
              <w:rPr>
                <w:rFonts w:ascii="Calibri" w:hAnsi="Calibri" w:cs="Arial"/>
                <w:sz w:val="22"/>
                <w:szCs w:val="22"/>
              </w:rPr>
              <w:t>eting of the Committee in each c</w:t>
            </w:r>
            <w:r w:rsidRPr="006A2FFB">
              <w:rPr>
                <w:rFonts w:ascii="Calibri" w:hAnsi="Calibri" w:cs="Arial"/>
                <w:sz w:val="22"/>
                <w:szCs w:val="22"/>
              </w:rPr>
              <w:t>ollege year.</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6. </w:t>
            </w:r>
            <w:r>
              <w:rPr>
                <w:rFonts w:ascii="Calibri" w:hAnsi="Calibri" w:cs="Arial"/>
                <w:b/>
                <w:sz w:val="22"/>
                <w:szCs w:val="22"/>
              </w:rPr>
              <w:tab/>
              <w:t>Clerking of the Committee</w:t>
            </w:r>
          </w:p>
        </w:tc>
        <w:tc>
          <w:tcPr>
            <w:tcW w:w="7261" w:type="dxa"/>
            <w:tcBorders>
              <w:top w:val="single" w:sz="4" w:space="0" w:color="auto"/>
              <w:left w:val="single" w:sz="4" w:space="0" w:color="auto"/>
              <w:bottom w:val="single" w:sz="4" w:space="0" w:color="auto"/>
              <w:right w:val="single" w:sz="4" w:space="0" w:color="auto"/>
            </w:tcBorders>
            <w:shd w:val="clear" w:color="auto" w:fill="auto"/>
          </w:tcPr>
          <w:p w:rsidR="00EA547A" w:rsidRPr="006A2FFB" w:rsidRDefault="00EA547A">
            <w:pPr>
              <w:ind w:left="720" w:hanging="720"/>
              <w:rPr>
                <w:rFonts w:ascii="Calibri" w:hAnsi="Calibri" w:cs="Arial"/>
                <w:sz w:val="22"/>
                <w:szCs w:val="22"/>
              </w:rPr>
            </w:pPr>
            <w:r w:rsidRPr="006A2FFB">
              <w:rPr>
                <w:rFonts w:ascii="Calibri" w:hAnsi="Calibri" w:cs="Arial"/>
                <w:sz w:val="22"/>
                <w:szCs w:val="22"/>
              </w:rPr>
              <w:t>6.1</w:t>
            </w:r>
            <w:r w:rsidRPr="006A2FFB">
              <w:rPr>
                <w:rFonts w:ascii="Calibri" w:hAnsi="Calibri" w:cs="Arial"/>
                <w:sz w:val="22"/>
                <w:szCs w:val="22"/>
              </w:rPr>
              <w:tab/>
              <w:t xml:space="preserve">The </w:t>
            </w:r>
            <w:r w:rsidR="0050250C" w:rsidRPr="006A2FFB">
              <w:rPr>
                <w:rFonts w:ascii="Calibri" w:hAnsi="Calibri" w:cs="Arial"/>
                <w:sz w:val="22"/>
                <w:szCs w:val="22"/>
              </w:rPr>
              <w:t xml:space="preserve">Director of Governance </w:t>
            </w:r>
            <w:r w:rsidRPr="006A2FFB">
              <w:rPr>
                <w:rFonts w:ascii="Calibri" w:hAnsi="Calibri" w:cs="Arial"/>
                <w:sz w:val="22"/>
                <w:szCs w:val="22"/>
              </w:rPr>
              <w:t xml:space="preserve">will provide the clerking for the Committee. </w:t>
            </w:r>
          </w:p>
          <w:p w:rsidR="00EA547A" w:rsidRPr="006A2FFB" w:rsidRDefault="00EA547A">
            <w:pPr>
              <w:ind w:left="720" w:hanging="720"/>
              <w:rPr>
                <w:rFonts w:ascii="Calibri" w:hAnsi="Calibri" w:cs="Arial"/>
                <w:sz w:val="16"/>
                <w:szCs w:val="16"/>
              </w:rPr>
            </w:pPr>
          </w:p>
        </w:tc>
      </w:tr>
      <w:tr w:rsidR="00EA547A" w:rsidTr="00EA547A">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EA547A" w:rsidRDefault="00EA547A">
            <w:pPr>
              <w:ind w:left="360" w:hanging="360"/>
              <w:rPr>
                <w:rFonts w:ascii="Calibri" w:hAnsi="Calibri" w:cs="Arial"/>
                <w:b/>
                <w:sz w:val="22"/>
                <w:szCs w:val="22"/>
              </w:rPr>
            </w:pPr>
            <w:r>
              <w:rPr>
                <w:rFonts w:ascii="Calibri" w:hAnsi="Calibri" w:cs="Arial"/>
                <w:b/>
                <w:sz w:val="22"/>
                <w:szCs w:val="22"/>
              </w:rPr>
              <w:t xml:space="preserve">7. </w:t>
            </w:r>
            <w:r>
              <w:rPr>
                <w:rFonts w:ascii="Calibri" w:hAnsi="Calibri" w:cs="Arial"/>
                <w:b/>
                <w:sz w:val="22"/>
                <w:szCs w:val="22"/>
              </w:rPr>
              <w:tab/>
              <w:t>Reporting to the Corporation</w:t>
            </w:r>
          </w:p>
        </w:tc>
        <w:tc>
          <w:tcPr>
            <w:tcW w:w="7261" w:type="dxa"/>
            <w:tcBorders>
              <w:top w:val="single" w:sz="4" w:space="0" w:color="auto"/>
              <w:left w:val="single" w:sz="4" w:space="0" w:color="auto"/>
              <w:bottom w:val="single" w:sz="4" w:space="0" w:color="auto"/>
              <w:right w:val="single" w:sz="4" w:space="0" w:color="auto"/>
            </w:tcBorders>
            <w:shd w:val="clear" w:color="auto" w:fill="auto"/>
            <w:hideMark/>
          </w:tcPr>
          <w:p w:rsidR="00EA547A" w:rsidRPr="006A2FFB" w:rsidRDefault="00EA547A">
            <w:pPr>
              <w:pStyle w:val="BodyText"/>
              <w:ind w:left="720" w:hanging="720"/>
              <w:rPr>
                <w:rFonts w:ascii="Calibri" w:hAnsi="Calibri" w:cs="Arial"/>
                <w:sz w:val="22"/>
                <w:szCs w:val="22"/>
              </w:rPr>
            </w:pPr>
            <w:r w:rsidRPr="006A2FFB">
              <w:rPr>
                <w:rFonts w:ascii="Calibri" w:hAnsi="Calibri" w:cs="Arial"/>
                <w:sz w:val="22"/>
                <w:szCs w:val="22"/>
              </w:rPr>
              <w:t>7.1</w:t>
            </w:r>
            <w:r w:rsidRPr="006A2FFB">
              <w:rPr>
                <w:rFonts w:ascii="Calibri" w:hAnsi="Calibri" w:cs="Arial"/>
                <w:sz w:val="22"/>
                <w:szCs w:val="22"/>
              </w:rPr>
              <w:tab/>
              <w:t>The minutes of the Committee will be presented to the next meeting of the Corporation.</w:t>
            </w:r>
          </w:p>
        </w:tc>
      </w:tr>
    </w:tbl>
    <w:p w:rsidR="00EA547A" w:rsidRDefault="00EA547A" w:rsidP="00EA547A">
      <w:pPr>
        <w:pStyle w:val="BodyTextIndent"/>
        <w:ind w:left="0"/>
        <w:rPr>
          <w:rFonts w:ascii="Calibri" w:hAnsi="Calibri"/>
          <w:sz w:val="22"/>
        </w:rPr>
      </w:pPr>
    </w:p>
    <w:p w:rsidR="002F3765" w:rsidRPr="00AF15C2" w:rsidRDefault="002F3765" w:rsidP="00010CD4">
      <w:pPr>
        <w:pStyle w:val="BodyTextIndent"/>
        <w:ind w:left="0"/>
        <w:rPr>
          <w:rFonts w:ascii="Calibri" w:hAnsi="Calibri"/>
          <w:sz w:val="22"/>
        </w:rPr>
      </w:pPr>
    </w:p>
    <w:sectPr w:rsidR="002F3765" w:rsidRPr="00AF15C2" w:rsidSect="00974C63">
      <w:pgSz w:w="11906" w:h="16838"/>
      <w:pgMar w:top="851" w:right="99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A5A"/>
    <w:multiLevelType w:val="hybridMultilevel"/>
    <w:tmpl w:val="C3B6D534"/>
    <w:lvl w:ilvl="0" w:tplc="C988014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34B65E51"/>
    <w:multiLevelType w:val="hybridMultilevel"/>
    <w:tmpl w:val="C3427294"/>
    <w:lvl w:ilvl="0" w:tplc="80386F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9A541E"/>
    <w:multiLevelType w:val="hybridMultilevel"/>
    <w:tmpl w:val="8092C184"/>
    <w:lvl w:ilvl="0" w:tplc="77267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01940"/>
    <w:multiLevelType w:val="hybridMultilevel"/>
    <w:tmpl w:val="5E5456F8"/>
    <w:lvl w:ilvl="0" w:tplc="DB34093E">
      <w:start w:val="1"/>
      <w:numFmt w:val="decimal"/>
      <w:lvlText w:val="%1."/>
      <w:lvlJc w:val="left"/>
      <w:pPr>
        <w:tabs>
          <w:tab w:val="num" w:pos="1080"/>
        </w:tabs>
        <w:ind w:left="1080" w:hanging="720"/>
      </w:pPr>
      <w:rPr>
        <w:rFonts w:hint="default"/>
      </w:rPr>
    </w:lvl>
    <w:lvl w:ilvl="1" w:tplc="0F7C8B30">
      <w:numFmt w:val="none"/>
      <w:lvlText w:val=""/>
      <w:lvlJc w:val="left"/>
      <w:pPr>
        <w:tabs>
          <w:tab w:val="num" w:pos="360"/>
        </w:tabs>
      </w:pPr>
    </w:lvl>
    <w:lvl w:ilvl="2" w:tplc="4BCE9A82">
      <w:numFmt w:val="none"/>
      <w:lvlText w:val=""/>
      <w:lvlJc w:val="left"/>
      <w:pPr>
        <w:tabs>
          <w:tab w:val="num" w:pos="360"/>
        </w:tabs>
      </w:pPr>
    </w:lvl>
    <w:lvl w:ilvl="3" w:tplc="1092164C">
      <w:numFmt w:val="none"/>
      <w:lvlText w:val=""/>
      <w:lvlJc w:val="left"/>
      <w:pPr>
        <w:tabs>
          <w:tab w:val="num" w:pos="360"/>
        </w:tabs>
      </w:pPr>
    </w:lvl>
    <w:lvl w:ilvl="4" w:tplc="BAF6E5AE">
      <w:numFmt w:val="none"/>
      <w:lvlText w:val=""/>
      <w:lvlJc w:val="left"/>
      <w:pPr>
        <w:tabs>
          <w:tab w:val="num" w:pos="360"/>
        </w:tabs>
      </w:pPr>
    </w:lvl>
    <w:lvl w:ilvl="5" w:tplc="FED4B81E">
      <w:numFmt w:val="none"/>
      <w:lvlText w:val=""/>
      <w:lvlJc w:val="left"/>
      <w:pPr>
        <w:tabs>
          <w:tab w:val="num" w:pos="360"/>
        </w:tabs>
      </w:pPr>
    </w:lvl>
    <w:lvl w:ilvl="6" w:tplc="08040322">
      <w:numFmt w:val="none"/>
      <w:lvlText w:val=""/>
      <w:lvlJc w:val="left"/>
      <w:pPr>
        <w:tabs>
          <w:tab w:val="num" w:pos="360"/>
        </w:tabs>
      </w:pPr>
    </w:lvl>
    <w:lvl w:ilvl="7" w:tplc="836678C4">
      <w:numFmt w:val="none"/>
      <w:lvlText w:val=""/>
      <w:lvlJc w:val="left"/>
      <w:pPr>
        <w:tabs>
          <w:tab w:val="num" w:pos="360"/>
        </w:tabs>
      </w:pPr>
    </w:lvl>
    <w:lvl w:ilvl="8" w:tplc="990CEB88">
      <w:numFmt w:val="none"/>
      <w:lvlText w:val=""/>
      <w:lvlJc w:val="left"/>
      <w:pPr>
        <w:tabs>
          <w:tab w:val="num" w:pos="360"/>
        </w:tabs>
      </w:pPr>
    </w:lvl>
  </w:abstractNum>
  <w:abstractNum w:abstractNumId="4" w15:restartNumberingAfterBreak="0">
    <w:nsid w:val="68D20B27"/>
    <w:multiLevelType w:val="multilevel"/>
    <w:tmpl w:val="0EF40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0"/>
    <w:rsid w:val="000006CA"/>
    <w:rsid w:val="00010CD4"/>
    <w:rsid w:val="00037622"/>
    <w:rsid w:val="00083823"/>
    <w:rsid w:val="001869C3"/>
    <w:rsid w:val="001875ED"/>
    <w:rsid w:val="001B4417"/>
    <w:rsid w:val="00211400"/>
    <w:rsid w:val="002A27E3"/>
    <w:rsid w:val="002C0B73"/>
    <w:rsid w:val="002F3765"/>
    <w:rsid w:val="00346533"/>
    <w:rsid w:val="00355320"/>
    <w:rsid w:val="003832A4"/>
    <w:rsid w:val="003D288F"/>
    <w:rsid w:val="004D1C62"/>
    <w:rsid w:val="004D5866"/>
    <w:rsid w:val="004D774A"/>
    <w:rsid w:val="004E6B18"/>
    <w:rsid w:val="004F615C"/>
    <w:rsid w:val="0050250C"/>
    <w:rsid w:val="0050561C"/>
    <w:rsid w:val="005270A4"/>
    <w:rsid w:val="005858D9"/>
    <w:rsid w:val="005E7571"/>
    <w:rsid w:val="006407EC"/>
    <w:rsid w:val="006524C1"/>
    <w:rsid w:val="00677219"/>
    <w:rsid w:val="0068078C"/>
    <w:rsid w:val="006A2FFB"/>
    <w:rsid w:val="00766120"/>
    <w:rsid w:val="007729EB"/>
    <w:rsid w:val="007C1B11"/>
    <w:rsid w:val="0086238C"/>
    <w:rsid w:val="00943BED"/>
    <w:rsid w:val="0097391E"/>
    <w:rsid w:val="00974C63"/>
    <w:rsid w:val="009A5D52"/>
    <w:rsid w:val="00A244F5"/>
    <w:rsid w:val="00A36639"/>
    <w:rsid w:val="00A82E51"/>
    <w:rsid w:val="00AF15C2"/>
    <w:rsid w:val="00BD0A22"/>
    <w:rsid w:val="00C010E3"/>
    <w:rsid w:val="00C650B6"/>
    <w:rsid w:val="00CC022C"/>
    <w:rsid w:val="00D11357"/>
    <w:rsid w:val="00D167C9"/>
    <w:rsid w:val="00D31D10"/>
    <w:rsid w:val="00D35DD5"/>
    <w:rsid w:val="00D55A03"/>
    <w:rsid w:val="00D82C5F"/>
    <w:rsid w:val="00D87E05"/>
    <w:rsid w:val="00D919D4"/>
    <w:rsid w:val="00DC203E"/>
    <w:rsid w:val="00DC5BD5"/>
    <w:rsid w:val="00EA547A"/>
    <w:rsid w:val="00EB6E10"/>
    <w:rsid w:val="00ED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48540-25C0-4933-801D-784BB160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b/>
      <w:bCs/>
      <w:sz w:val="22"/>
    </w:rPr>
  </w:style>
  <w:style w:type="paragraph" w:styleId="Heading3">
    <w:name w:val="heading 3"/>
    <w:basedOn w:val="Normal"/>
    <w:next w:val="Normal"/>
    <w:qFormat/>
    <w:pPr>
      <w:keepNext/>
      <w:ind w:left="480"/>
      <w:outlineLvl w:val="2"/>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sz w:val="22"/>
    </w:rPr>
  </w:style>
  <w:style w:type="paragraph" w:styleId="Footer">
    <w:name w:val="footer"/>
    <w:basedOn w:val="Normal"/>
    <w:link w:val="FooterChar"/>
    <w:pPr>
      <w:tabs>
        <w:tab w:val="center" w:pos="4153"/>
        <w:tab w:val="right" w:pos="8306"/>
      </w:tabs>
    </w:pPr>
    <w:rPr>
      <w:rFonts w:ascii="Arial" w:hAnsi="Arial"/>
      <w:sz w:val="22"/>
    </w:rPr>
  </w:style>
  <w:style w:type="paragraph" w:styleId="BodyTextIndent">
    <w:name w:val="Body Text Indent"/>
    <w:basedOn w:val="Normal"/>
    <w:link w:val="BodyTextIndentChar"/>
    <w:pPr>
      <w:ind w:left="360"/>
    </w:pPr>
    <w:rPr>
      <w:rFonts w:ascii="Microsoft Sans Serif" w:hAnsi="Microsoft Sans Serif" w:cs="Microsoft Sans Serif"/>
      <w:bCs/>
      <w:szCs w:val="22"/>
    </w:rPr>
  </w:style>
  <w:style w:type="paragraph" w:styleId="ListParagraph">
    <w:name w:val="List Paragraph"/>
    <w:basedOn w:val="Normal"/>
    <w:uiPriority w:val="34"/>
    <w:qFormat/>
    <w:rsid w:val="003832A4"/>
    <w:pPr>
      <w:spacing w:after="200" w:line="276" w:lineRule="auto"/>
      <w:ind w:left="720"/>
    </w:pPr>
    <w:rPr>
      <w:rFonts w:ascii="Calibri" w:hAnsi="Calibri"/>
      <w:sz w:val="22"/>
      <w:szCs w:val="22"/>
    </w:rPr>
  </w:style>
  <w:style w:type="paragraph" w:styleId="BodyText">
    <w:name w:val="Body Text"/>
    <w:basedOn w:val="Normal"/>
    <w:link w:val="BodyTextChar"/>
    <w:rsid w:val="002F3765"/>
    <w:pPr>
      <w:spacing w:after="120"/>
    </w:pPr>
  </w:style>
  <w:style w:type="character" w:customStyle="1" w:styleId="BodyTextChar">
    <w:name w:val="Body Text Char"/>
    <w:link w:val="BodyText"/>
    <w:rsid w:val="002F3765"/>
    <w:rPr>
      <w:sz w:val="24"/>
      <w:szCs w:val="24"/>
      <w:lang w:eastAsia="en-US"/>
    </w:rPr>
  </w:style>
  <w:style w:type="character" w:customStyle="1" w:styleId="FooterChar">
    <w:name w:val="Footer Char"/>
    <w:link w:val="Footer"/>
    <w:rsid w:val="002F3765"/>
    <w:rPr>
      <w:rFonts w:ascii="Arial" w:hAnsi="Arial"/>
      <w:sz w:val="22"/>
      <w:szCs w:val="24"/>
      <w:lang w:eastAsia="en-US"/>
    </w:rPr>
  </w:style>
  <w:style w:type="character" w:customStyle="1" w:styleId="BodyTextIndentChar">
    <w:name w:val="Body Text Indent Char"/>
    <w:link w:val="BodyTextIndent"/>
    <w:rsid w:val="00974C63"/>
    <w:rPr>
      <w:rFonts w:ascii="Microsoft Sans Serif" w:hAnsi="Microsoft Sans Serif" w:cs="Microsoft Sans Serif"/>
      <w:bCs/>
      <w:sz w:val="24"/>
      <w:szCs w:val="22"/>
      <w:lang w:eastAsia="en-US"/>
    </w:rPr>
  </w:style>
  <w:style w:type="paragraph" w:styleId="BalloonText">
    <w:name w:val="Balloon Text"/>
    <w:basedOn w:val="Normal"/>
    <w:link w:val="BalloonTextChar"/>
    <w:rsid w:val="001B4417"/>
    <w:rPr>
      <w:rFonts w:ascii="Segoe UI" w:hAnsi="Segoe UI" w:cs="Segoe UI"/>
      <w:sz w:val="18"/>
      <w:szCs w:val="18"/>
    </w:rPr>
  </w:style>
  <w:style w:type="character" w:customStyle="1" w:styleId="BalloonTextChar">
    <w:name w:val="Balloon Text Char"/>
    <w:link w:val="BalloonText"/>
    <w:rsid w:val="001B441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West Nottinghamshire College</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BAGSHAW</dc:creator>
  <cp:keywords/>
  <cp:lastModifiedBy>Tom Lewis</cp:lastModifiedBy>
  <cp:revision>2</cp:revision>
  <cp:lastPrinted>2018-08-07T13:06:00Z</cp:lastPrinted>
  <dcterms:created xsi:type="dcterms:W3CDTF">2022-12-05T17:13:00Z</dcterms:created>
  <dcterms:modified xsi:type="dcterms:W3CDTF">2022-12-05T17:13:00Z</dcterms:modified>
</cp:coreProperties>
</file>